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left"/>
        <w:rPr>
          <w:rFonts w:ascii="Lato" w:cs="Lato" w:eastAsia="Lato" w:hAnsi="Lato"/>
          <w:color w:val="dc002d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color w:val="dc002d"/>
          <w:sz w:val="36"/>
          <w:szCs w:val="36"/>
          <w:rtl w:val="0"/>
        </w:rPr>
        <w:t xml:space="preserve">        The Many Myths of Commercial Litigation in India: 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Lato" w:cs="Lato" w:eastAsia="Lato" w:hAnsi="Lato"/>
          <w:color w:val="808080"/>
          <w:sz w:val="36"/>
          <w:szCs w:val="36"/>
        </w:rPr>
      </w:pPr>
      <w:r w:rsidDel="00000000" w:rsidR="00000000" w:rsidRPr="00000000">
        <w:rPr>
          <w:rFonts w:ascii="Lato" w:cs="Lato" w:eastAsia="Lato" w:hAnsi="Lato"/>
          <w:color w:val="808080"/>
          <w:sz w:val="36"/>
          <w:szCs w:val="36"/>
          <w:rtl w:val="0"/>
        </w:rPr>
        <w:t xml:space="preserve">An Assessment of the Commercial Courts Act, 2015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A Round-Table Discussion hosted by the Vidhi Centre for Legal Policy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Date: Saturday, July 6, 2019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Venue: Juniper Hall, India Habitat Centre, New Delhi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Registration opens at 10:30 AM</w:t>
      </w:r>
    </w:p>
    <w:p w:rsidR="00000000" w:rsidDel="00000000" w:rsidP="00000000" w:rsidRDefault="00000000" w:rsidRPr="00000000" w14:paraId="00000008">
      <w:pPr>
        <w:spacing w:line="276" w:lineRule="auto"/>
        <w:jc w:val="center"/>
        <w:rPr>
          <w:rFonts w:ascii="Lato" w:cs="Lato" w:eastAsia="Lato" w:hAnsi="Lato"/>
          <w:sz w:val="16"/>
          <w:szCs w:val="16"/>
          <w:u w:val="single"/>
        </w:rPr>
      </w:pPr>
      <w:r w:rsidDel="00000000" w:rsidR="00000000" w:rsidRPr="00000000">
        <w:rPr>
          <w:rFonts w:ascii="Lato" w:cs="Lato" w:eastAsia="Lato" w:hAnsi="Lato"/>
          <w:b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135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30"/>
        <w:gridCol w:w="7005"/>
        <w:tblGridChange w:id="0">
          <w:tblGrid>
            <w:gridCol w:w="2130"/>
            <w:gridCol w:w="7005"/>
          </w:tblGrid>
        </w:tblGridChange>
      </w:tblGrid>
      <w:tr>
        <w:trPr>
          <w:trHeight w:val="44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c002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="276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TIMINGS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c002d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="276" w:lineRule="auto"/>
              <w:jc w:val="center"/>
              <w:rPr>
                <w:rFonts w:ascii="Lato" w:cs="Lato" w:eastAsia="Lato" w:hAnsi="Lato"/>
                <w:b w:val="1"/>
                <w:color w:val="ffffff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rtl w:val="0"/>
              </w:rPr>
              <w:t xml:space="preserve">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8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00"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10:30-11:00 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Registration and tea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11:00-11:30 AM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line="360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Presentation by Vaidehi Misra and Ameen Jauhar on the findings of their report titled Commercial Courts Act, 2015: An Empirical Impact Evaluation.</w:t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11:30  AM - 01:30 PM 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Roundtable Discussion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u w:val="single"/>
                <w:rtl w:val="0"/>
              </w:rPr>
              <w:t xml:space="preserve">Moderator:</w:t>
            </w: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Prashant Reddy, Senior Resident Fellow, Vidhi Centre for Legal Policy, New Delhi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u w:val="single"/>
                <w:rtl w:val="0"/>
              </w:rPr>
              <w:t xml:space="preserve">Themes for the discussion: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Round 1 - Should there be exclusive commercial courts, given the shortfall of judges and courtrooms  in India?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Round 2 -  How has the Act been implementation in different courts across India?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spacing w:line="276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Round 3 - Are procedural reforms sufficient to improve the litigation culture in India?</w:t>
            </w:r>
          </w:p>
          <w:p w:rsidR="00000000" w:rsidDel="00000000" w:rsidP="00000000" w:rsidRDefault="00000000" w:rsidRPr="00000000" w14:paraId="00000018">
            <w:pPr>
              <w:spacing w:line="276" w:lineRule="auto"/>
              <w:rPr>
                <w:rFonts w:ascii="Lato" w:cs="Lato" w:eastAsia="Lato" w:hAnsi="Lato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sz w:val="20"/>
                <w:szCs w:val="20"/>
                <w:rtl w:val="0"/>
              </w:rPr>
              <w:t xml:space="preserve">                 </w:t>
            </w:r>
          </w:p>
          <w:p w:rsidR="00000000" w:rsidDel="00000000" w:rsidP="00000000" w:rsidRDefault="00000000" w:rsidRPr="00000000" w14:paraId="00000019">
            <w:pPr>
              <w:spacing w:line="276" w:lineRule="auto"/>
              <w:rPr>
                <w:rFonts w:ascii="Lato" w:cs="Lato" w:eastAsia="Lato" w:hAnsi="Lato"/>
                <w:sz w:val="20"/>
                <w:szCs w:val="20"/>
                <w:u w:val="singl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u w:val="single"/>
                <w:rtl w:val="0"/>
              </w:rPr>
              <w:t xml:space="preserve">Speakers: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D. Raja, Member Rajya Sabha</w:t>
            </w:r>
          </w:p>
          <w:p w:rsidR="00000000" w:rsidDel="00000000" w:rsidP="00000000" w:rsidRDefault="00000000" w:rsidRPr="00000000" w14:paraId="0000001B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Pratik Datta, Senior Research Fellow, Shardul Amarchand Mangaldas &amp; Co., Delhi</w:t>
            </w:r>
          </w:p>
          <w:p w:rsidR="00000000" w:rsidDel="00000000" w:rsidP="00000000" w:rsidRDefault="00000000" w:rsidRPr="00000000" w14:paraId="0000001C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Ms Leah Verghese, Research Manager, Daksh, Bangalore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Sanjeev Kapoor, Partner, Khaitan &amp; Co., Delhi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Jaideep Verma, Jaideep Verma &amp; Associates, Vadodara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Hasit Seth, Chambers of Hasit Seth, Bombay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Mihir Naniwadekar,  Advocate, Bombay High Court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1"/>
              </w:numPr>
              <w:spacing w:line="360" w:lineRule="auto"/>
              <w:ind w:left="720" w:hanging="360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Mr Swaroop Mamidipudi, Advocate, Madras High Court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="276" w:lineRule="auto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 01:30 - 02:30 PM</w:t>
            </w:r>
          </w:p>
        </w:tc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76" w:lineRule="auto"/>
              <w:ind w:right="120"/>
              <w:jc w:val="center"/>
              <w:rPr>
                <w:rFonts w:ascii="Lato" w:cs="Lato" w:eastAsia="Lato" w:hAnsi="Lato"/>
                <w:sz w:val="20"/>
                <w:szCs w:val="20"/>
              </w:rPr>
            </w:pPr>
            <w:r w:rsidDel="00000000" w:rsidR="00000000" w:rsidRPr="00000000">
              <w:rPr>
                <w:rFonts w:ascii="Lato" w:cs="Lato" w:eastAsia="Lato" w:hAnsi="Lato"/>
                <w:sz w:val="20"/>
                <w:szCs w:val="20"/>
                <w:rtl w:val="0"/>
              </w:rPr>
              <w:t xml:space="preserve">Lunch</w:t>
            </w:r>
          </w:p>
        </w:tc>
      </w:tr>
    </w:tbl>
    <w:p w:rsidR="00000000" w:rsidDel="00000000" w:rsidP="00000000" w:rsidRDefault="00000000" w:rsidRPr="00000000" w14:paraId="00000025">
      <w:pPr>
        <w:spacing w:line="276" w:lineRule="auto"/>
        <w:ind w:right="-180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17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rPr/>
    </w:pPr>
    <w:r w:rsidDel="00000000" w:rsidR="00000000" w:rsidRPr="00000000">
      <w:rPr>
        <w:rtl w:val="0"/>
      </w:rPr>
      <w:t xml:space="preserve">                                                                                 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-638174</wp:posOffset>
          </wp:positionH>
          <wp:positionV relativeFrom="paragraph">
            <wp:posOffset>-57149</wp:posOffset>
          </wp:positionV>
          <wp:extent cx="1443038" cy="315366"/>
          <wp:effectExtent b="0" l="0" r="0" t="0"/>
          <wp:wrapSquare wrapText="bothSides" distB="114300" distT="114300" distL="114300" distR="11430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3038" cy="31536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-57149</wp:posOffset>
          </wp:positionV>
          <wp:extent cx="1271588" cy="356974"/>
          <wp:effectExtent b="0" l="0" r="0" t="0"/>
          <wp:wrapTopAndBottom distB="114300" distT="11430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1588" cy="35697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