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02E9" w:rsidRDefault="005C0DCF" w:rsidP="005C0DCF">
      <w:pPr>
        <w:jc w:val="center"/>
        <w:rPr>
          <w:b/>
          <w:sz w:val="32"/>
          <w:szCs w:val="32"/>
        </w:rPr>
      </w:pPr>
      <w:r w:rsidRPr="005C0DCF">
        <w:rPr>
          <w:b/>
          <w:sz w:val="32"/>
          <w:szCs w:val="32"/>
        </w:rPr>
        <w:t>A Comparative U.S. –India Constitutional Law Debate</w:t>
      </w:r>
    </w:p>
    <w:p w:rsidR="00CA0812" w:rsidRDefault="00CA0812" w:rsidP="005C0DCF">
      <w:pPr>
        <w:jc w:val="center"/>
        <w:rPr>
          <w:b/>
          <w:sz w:val="32"/>
          <w:szCs w:val="32"/>
        </w:rPr>
      </w:pPr>
    </w:p>
    <w:p w:rsidR="00CA0812" w:rsidRDefault="00CA0812" w:rsidP="005C0DC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Video Briefing</w:t>
      </w:r>
    </w:p>
    <w:p w:rsidR="00830CAA" w:rsidRDefault="00830CAA" w:rsidP="005C0DCF">
      <w:pPr>
        <w:jc w:val="center"/>
        <w:rPr>
          <w:b/>
          <w:sz w:val="32"/>
          <w:szCs w:val="32"/>
        </w:rPr>
      </w:pPr>
    </w:p>
    <w:p w:rsidR="000743B2" w:rsidRPr="000743B2" w:rsidRDefault="000743B2" w:rsidP="00A05EE3">
      <w:pPr>
        <w:tabs>
          <w:tab w:val="left" w:pos="2340"/>
        </w:tabs>
        <w:jc w:val="both"/>
        <w:rPr>
          <w:sz w:val="28"/>
          <w:szCs w:val="28"/>
        </w:rPr>
      </w:pPr>
      <w:r w:rsidRPr="000743B2">
        <w:rPr>
          <w:sz w:val="28"/>
          <w:szCs w:val="28"/>
        </w:rPr>
        <w:t>The U.S. Consulate General and Loyola College in Chennai jointly present “A Comparative U.S. - India Constitutional Law Debate,” an initiative that will deliberate on contemporary issues in the context of U.S. and Indi</w:t>
      </w:r>
      <w:r>
        <w:rPr>
          <w:sz w:val="28"/>
          <w:szCs w:val="28"/>
        </w:rPr>
        <w:t xml:space="preserve">an Constitutional laws.  </w:t>
      </w:r>
      <w:r w:rsidRPr="000743B2">
        <w:rPr>
          <w:sz w:val="28"/>
          <w:szCs w:val="28"/>
        </w:rPr>
        <w:t xml:space="preserve">As the world’s oldest and largest democracies, respectively, the governments and societies of the United States and India are framed by constitutions that underscore democratic values and fundamental rights.  </w:t>
      </w:r>
      <w:r w:rsidR="001A103A">
        <w:rPr>
          <w:sz w:val="28"/>
          <w:szCs w:val="28"/>
        </w:rPr>
        <w:t xml:space="preserve">The below three videos provide </w:t>
      </w:r>
      <w:r w:rsidR="005C6CE9">
        <w:rPr>
          <w:sz w:val="28"/>
          <w:szCs w:val="28"/>
        </w:rPr>
        <w:t xml:space="preserve">the viewer insights into some of the salient features of </w:t>
      </w:r>
      <w:r w:rsidR="00A05EE3">
        <w:rPr>
          <w:sz w:val="28"/>
          <w:szCs w:val="28"/>
        </w:rPr>
        <w:t>the U.S. Constitution.</w:t>
      </w:r>
    </w:p>
    <w:p w:rsidR="000743B2" w:rsidRDefault="000743B2" w:rsidP="000743B2"/>
    <w:p w:rsidR="008A1907" w:rsidRDefault="008A1907"/>
    <w:p w:rsidR="008A1907" w:rsidRDefault="003B73DA" w:rsidP="008A1907">
      <w:pPr>
        <w:pStyle w:val="xmsonormal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Video 1:</w:t>
      </w:r>
      <w:r w:rsidR="0018318B">
        <w:rPr>
          <w:b/>
          <w:sz w:val="28"/>
          <w:szCs w:val="28"/>
        </w:rPr>
        <w:t xml:space="preserve">  </w:t>
      </w:r>
      <w:r w:rsidR="008A1907">
        <w:rPr>
          <w:b/>
          <w:sz w:val="28"/>
          <w:szCs w:val="28"/>
        </w:rPr>
        <w:t>Topic: History, Structure, Powers of the Supreme Court, and Landmark Judgements</w:t>
      </w:r>
    </w:p>
    <w:p w:rsidR="000743B2" w:rsidRDefault="000743B2" w:rsidP="008A1907">
      <w:pPr>
        <w:pStyle w:val="xmsonormal"/>
        <w:spacing w:before="0" w:beforeAutospacing="0" w:after="0" w:afterAutospacing="0"/>
        <w:rPr>
          <w:b/>
          <w:sz w:val="28"/>
          <w:szCs w:val="28"/>
        </w:rPr>
      </w:pPr>
    </w:p>
    <w:p w:rsidR="000743B2" w:rsidRDefault="000743B2" w:rsidP="008A1907">
      <w:pPr>
        <w:pStyle w:val="xmsonormal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Mr. Robert G. Burgess, U.S. Consul General, U.S. Consulate General, Chennai in conversation with Ms. </w:t>
      </w:r>
      <w:proofErr w:type="spellStart"/>
      <w:r>
        <w:rPr>
          <w:b/>
          <w:sz w:val="28"/>
          <w:szCs w:val="28"/>
        </w:rPr>
        <w:t>Geeta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Ramaseshan</w:t>
      </w:r>
      <w:proofErr w:type="spellEnd"/>
      <w:r>
        <w:rPr>
          <w:b/>
          <w:sz w:val="28"/>
          <w:szCs w:val="28"/>
        </w:rPr>
        <w:t>, Attorney, High Court of Madras.</w:t>
      </w:r>
    </w:p>
    <w:p w:rsidR="008A1907" w:rsidRDefault="008A1907" w:rsidP="008A1907">
      <w:pPr>
        <w:pStyle w:val="xmsonormal"/>
        <w:spacing w:before="0" w:beforeAutospacing="0" w:after="0" w:afterAutospacing="0"/>
        <w:ind w:left="720"/>
        <w:rPr>
          <w:rFonts w:ascii="Calibri" w:hAnsi="Calibri" w:cs="Calibri"/>
          <w:sz w:val="22"/>
          <w:szCs w:val="22"/>
        </w:rPr>
      </w:pPr>
      <w:r>
        <w:rPr>
          <w:sz w:val="28"/>
          <w:szCs w:val="28"/>
        </w:rPr>
        <w:t> </w:t>
      </w:r>
    </w:p>
    <w:p w:rsidR="008A1907" w:rsidRDefault="008A1907" w:rsidP="008A1907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History and “Color of the time”</w:t>
      </w:r>
    </w:p>
    <w:p w:rsidR="008A1907" w:rsidRDefault="008A1907" w:rsidP="008A1907">
      <w:pPr>
        <w:pStyle w:val="ListParagraph"/>
        <w:rPr>
          <w:rFonts w:ascii="Calibri" w:hAnsi="Calibri" w:cs="Calibri"/>
          <w:sz w:val="22"/>
          <w:szCs w:val="22"/>
        </w:rPr>
      </w:pPr>
    </w:p>
    <w:p w:rsidR="008A1907" w:rsidRDefault="008A1907" w:rsidP="008A1907">
      <w:pPr>
        <w:ind w:left="720" w:hanging="360"/>
        <w:rPr>
          <w:rFonts w:ascii="Calibri" w:hAnsi="Calibri" w:cs="Calibri"/>
          <w:sz w:val="22"/>
          <w:szCs w:val="22"/>
        </w:rPr>
      </w:pPr>
      <w:r>
        <w:rPr>
          <w:sz w:val="28"/>
          <w:szCs w:val="28"/>
        </w:rPr>
        <w:t>2.</w:t>
      </w:r>
      <w:r>
        <w:rPr>
          <w:sz w:val="14"/>
          <w:szCs w:val="14"/>
        </w:rPr>
        <w:t>   </w:t>
      </w:r>
      <w:r>
        <w:rPr>
          <w:rStyle w:val="xapple-converted-space"/>
          <w:sz w:val="14"/>
          <w:szCs w:val="14"/>
        </w:rPr>
        <w:t> </w:t>
      </w:r>
      <w:r>
        <w:rPr>
          <w:sz w:val="28"/>
          <w:szCs w:val="28"/>
        </w:rPr>
        <w:t>Structure</w:t>
      </w:r>
    </w:p>
    <w:p w:rsidR="008A1907" w:rsidRDefault="008A1907" w:rsidP="008A1907">
      <w:pPr>
        <w:pStyle w:val="ListParagraph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>
        <w:rPr>
          <w:sz w:val="28"/>
          <w:szCs w:val="28"/>
        </w:rPr>
        <w:t>Divisions of the 3 branches of government: Executive, Legislative, and Judiciary, and origin</w:t>
      </w:r>
    </w:p>
    <w:p w:rsidR="008A1907" w:rsidRDefault="008A1907" w:rsidP="008A1907">
      <w:pPr>
        <w:pStyle w:val="ListParagraph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>
        <w:rPr>
          <w:sz w:val="28"/>
          <w:szCs w:val="28"/>
        </w:rPr>
        <w:t>Checks and balances</w:t>
      </w:r>
    </w:p>
    <w:p w:rsidR="008A1907" w:rsidRDefault="008A1907" w:rsidP="008A1907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Demands of the Federalists and the States</w:t>
      </w:r>
    </w:p>
    <w:p w:rsidR="008A1907" w:rsidRDefault="008A1907" w:rsidP="008A1907">
      <w:pPr>
        <w:ind w:left="1440" w:hanging="360"/>
        <w:rPr>
          <w:rFonts w:ascii="Calibri" w:hAnsi="Calibri" w:cs="Calibri"/>
          <w:sz w:val="22"/>
          <w:szCs w:val="22"/>
        </w:rPr>
      </w:pPr>
    </w:p>
    <w:p w:rsidR="008A1907" w:rsidRDefault="008A1907" w:rsidP="008A1907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Powers of the U.S. Supreme Court (based on the legal premises)</w:t>
      </w:r>
    </w:p>
    <w:p w:rsidR="008A1907" w:rsidRDefault="008A1907" w:rsidP="008A1907">
      <w:pPr>
        <w:pStyle w:val="ListParagraph"/>
        <w:numPr>
          <w:ilvl w:val="0"/>
          <w:numId w:val="4"/>
        </w:numPr>
        <w:rPr>
          <w:rFonts w:ascii="Calibri" w:hAnsi="Calibri" w:cs="Calibri"/>
          <w:sz w:val="22"/>
          <w:szCs w:val="22"/>
        </w:rPr>
      </w:pPr>
      <w:r>
        <w:rPr>
          <w:sz w:val="28"/>
          <w:szCs w:val="28"/>
        </w:rPr>
        <w:t>Jurisdiction and 150 cases per year</w:t>
      </w:r>
    </w:p>
    <w:p w:rsidR="008A1907" w:rsidRDefault="008A1907" w:rsidP="008A1907">
      <w:pPr>
        <w:pStyle w:val="ListParagraph"/>
        <w:numPr>
          <w:ilvl w:val="0"/>
          <w:numId w:val="4"/>
        </w:numPr>
        <w:rPr>
          <w:rFonts w:ascii="Calibri" w:hAnsi="Calibri" w:cs="Calibri"/>
          <w:sz w:val="22"/>
          <w:szCs w:val="22"/>
        </w:rPr>
      </w:pPr>
      <w:r>
        <w:rPr>
          <w:sz w:val="28"/>
          <w:szCs w:val="28"/>
        </w:rPr>
        <w:t>Types of cases</w:t>
      </w:r>
    </w:p>
    <w:p w:rsidR="008A1907" w:rsidRDefault="008A1907" w:rsidP="008A1907">
      <w:pPr>
        <w:pStyle w:val="ListParagraph"/>
        <w:ind w:left="1130"/>
        <w:rPr>
          <w:rFonts w:ascii="Calibri" w:hAnsi="Calibri" w:cs="Calibri"/>
          <w:sz w:val="22"/>
          <w:szCs w:val="22"/>
        </w:rPr>
      </w:pPr>
    </w:p>
    <w:p w:rsidR="008A1907" w:rsidRDefault="008A1907" w:rsidP="008A1907">
      <w:pPr>
        <w:ind w:left="720" w:hanging="360"/>
        <w:rPr>
          <w:rFonts w:ascii="Calibri" w:hAnsi="Calibri" w:cs="Calibri"/>
          <w:sz w:val="22"/>
          <w:szCs w:val="22"/>
        </w:rPr>
      </w:pPr>
      <w:r>
        <w:rPr>
          <w:sz w:val="28"/>
          <w:szCs w:val="28"/>
        </w:rPr>
        <w:t>4.</w:t>
      </w:r>
      <w:r>
        <w:rPr>
          <w:sz w:val="14"/>
          <w:szCs w:val="14"/>
        </w:rPr>
        <w:t>   </w:t>
      </w:r>
      <w:r>
        <w:rPr>
          <w:rStyle w:val="xapple-converted-space"/>
          <w:sz w:val="14"/>
          <w:szCs w:val="14"/>
        </w:rPr>
        <w:t> </w:t>
      </w:r>
      <w:r>
        <w:rPr>
          <w:sz w:val="28"/>
          <w:szCs w:val="28"/>
        </w:rPr>
        <w:t>Role of the Court in landmark judgements that led to the evolution and changes in the Constitution, e.g.</w:t>
      </w:r>
    </w:p>
    <w:p w:rsidR="008A1907" w:rsidRDefault="008A1907" w:rsidP="008A1907">
      <w:pPr>
        <w:pStyle w:val="ListParagraph"/>
        <w:numPr>
          <w:ilvl w:val="1"/>
          <w:numId w:val="5"/>
        </w:numPr>
        <w:rPr>
          <w:rFonts w:ascii="Calibri" w:hAnsi="Calibri" w:cs="Calibri"/>
          <w:sz w:val="22"/>
          <w:szCs w:val="22"/>
        </w:rPr>
      </w:pPr>
      <w:r>
        <w:rPr>
          <w:sz w:val="28"/>
          <w:szCs w:val="28"/>
        </w:rPr>
        <w:t>Marbury vs Madison, 1803</w:t>
      </w:r>
    </w:p>
    <w:p w:rsidR="008A1907" w:rsidRDefault="008A1907" w:rsidP="008A1907">
      <w:pPr>
        <w:pStyle w:val="ListParagraph"/>
        <w:numPr>
          <w:ilvl w:val="1"/>
          <w:numId w:val="5"/>
        </w:numPr>
        <w:rPr>
          <w:rFonts w:ascii="Calibri" w:hAnsi="Calibri" w:cs="Calibri"/>
          <w:sz w:val="22"/>
          <w:szCs w:val="22"/>
        </w:rPr>
      </w:pPr>
      <w:r>
        <w:rPr>
          <w:sz w:val="28"/>
          <w:szCs w:val="28"/>
        </w:rPr>
        <w:t>Brown vs Board of Education, 1954</w:t>
      </w:r>
    </w:p>
    <w:p w:rsidR="008A1907" w:rsidRDefault="008A1907" w:rsidP="008A1907">
      <w:pPr>
        <w:pStyle w:val="ListParagraph"/>
        <w:numPr>
          <w:ilvl w:val="1"/>
          <w:numId w:val="5"/>
        </w:numPr>
        <w:rPr>
          <w:rFonts w:ascii="Calibri" w:hAnsi="Calibri" w:cs="Calibri"/>
          <w:sz w:val="22"/>
          <w:szCs w:val="22"/>
        </w:rPr>
      </w:pPr>
      <w:r>
        <w:rPr>
          <w:sz w:val="28"/>
          <w:szCs w:val="28"/>
        </w:rPr>
        <w:t>Miranda vs Arizona, 1966</w:t>
      </w:r>
    </w:p>
    <w:p w:rsidR="008A1907" w:rsidRDefault="008A1907"/>
    <w:p w:rsidR="00830CAA" w:rsidRDefault="00830CAA"/>
    <w:p w:rsidR="00830CAA" w:rsidRDefault="0018318B" w:rsidP="0018318B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Video 2: </w:t>
      </w:r>
      <w:r w:rsidR="00830CAA" w:rsidRPr="0018318B">
        <w:rPr>
          <w:b/>
          <w:sz w:val="28"/>
          <w:szCs w:val="28"/>
        </w:rPr>
        <w:t>Topic: The First Amendment</w:t>
      </w:r>
    </w:p>
    <w:p w:rsidR="00D34216" w:rsidRDefault="00D34216" w:rsidP="0018318B">
      <w:pPr>
        <w:rPr>
          <w:b/>
          <w:sz w:val="28"/>
          <w:szCs w:val="28"/>
        </w:rPr>
      </w:pPr>
    </w:p>
    <w:p w:rsidR="00D34216" w:rsidRPr="0018318B" w:rsidRDefault="00D34216" w:rsidP="0018318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Ms. Lauren Lovelace, Consul for Public Diplomacy and Public Affairs, U.S. Consulate General, Chennai in conversation with Mr. </w:t>
      </w:r>
      <w:proofErr w:type="spellStart"/>
      <w:r>
        <w:rPr>
          <w:b/>
          <w:sz w:val="28"/>
          <w:szCs w:val="28"/>
        </w:rPr>
        <w:t>Suhrit</w:t>
      </w:r>
      <w:proofErr w:type="spellEnd"/>
      <w:r>
        <w:rPr>
          <w:b/>
          <w:sz w:val="28"/>
          <w:szCs w:val="28"/>
        </w:rPr>
        <w:t xml:space="preserve"> Parthasarathy, Attorney, High Court of Madras.</w:t>
      </w:r>
    </w:p>
    <w:p w:rsidR="00830CAA" w:rsidRDefault="00830CAA" w:rsidP="00830CAA">
      <w:pPr>
        <w:rPr>
          <w:b/>
          <w:sz w:val="28"/>
          <w:szCs w:val="28"/>
        </w:rPr>
      </w:pPr>
    </w:p>
    <w:p w:rsidR="00830CAA" w:rsidRPr="009B7D22" w:rsidRDefault="00830CAA" w:rsidP="00830CAA">
      <w:pPr>
        <w:rPr>
          <w:sz w:val="28"/>
          <w:szCs w:val="28"/>
        </w:rPr>
      </w:pPr>
      <w:r w:rsidRPr="009B7D22">
        <w:rPr>
          <w:sz w:val="28"/>
          <w:szCs w:val="28"/>
        </w:rPr>
        <w:t xml:space="preserve">1. The history of the first amendment of the American Constitution. </w:t>
      </w:r>
    </w:p>
    <w:p w:rsidR="00830CAA" w:rsidRPr="009B7D22" w:rsidRDefault="00830CAA" w:rsidP="00830CAA">
      <w:pPr>
        <w:rPr>
          <w:sz w:val="28"/>
          <w:szCs w:val="28"/>
        </w:rPr>
      </w:pPr>
    </w:p>
    <w:p w:rsidR="00830CAA" w:rsidRPr="009B7D22" w:rsidRDefault="00830CAA" w:rsidP="00830CAA">
      <w:pPr>
        <w:rPr>
          <w:sz w:val="28"/>
          <w:szCs w:val="28"/>
        </w:rPr>
      </w:pPr>
      <w:r w:rsidRPr="009B7D22">
        <w:rPr>
          <w:sz w:val="28"/>
          <w:szCs w:val="28"/>
        </w:rPr>
        <w:t>2. What are the values that the first amendment seeks to protect?</w:t>
      </w:r>
    </w:p>
    <w:p w:rsidR="00830CAA" w:rsidRPr="009B7D22" w:rsidRDefault="00830CAA" w:rsidP="00830CAA">
      <w:pPr>
        <w:rPr>
          <w:sz w:val="28"/>
          <w:szCs w:val="28"/>
        </w:rPr>
      </w:pPr>
    </w:p>
    <w:p w:rsidR="00830CAA" w:rsidRDefault="00830CAA" w:rsidP="00830CAA">
      <w:pPr>
        <w:rPr>
          <w:sz w:val="28"/>
          <w:szCs w:val="28"/>
        </w:rPr>
      </w:pPr>
      <w:r w:rsidRPr="009B7D22">
        <w:rPr>
          <w:sz w:val="28"/>
          <w:szCs w:val="28"/>
        </w:rPr>
        <w:t xml:space="preserve">3. Why does the first amendment not lay out any exceptions? Does this mean the </w:t>
      </w:r>
      <w:r>
        <w:rPr>
          <w:sz w:val="28"/>
          <w:szCs w:val="28"/>
        </w:rPr>
        <w:t xml:space="preserve"> </w:t>
      </w:r>
    </w:p>
    <w:p w:rsidR="00830CAA" w:rsidRPr="009B7D22" w:rsidRDefault="00830CAA" w:rsidP="00830CAA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9B7D22">
        <w:rPr>
          <w:sz w:val="28"/>
          <w:szCs w:val="28"/>
        </w:rPr>
        <w:t>First amendment guarantees an absolute right to free expression?</w:t>
      </w:r>
    </w:p>
    <w:p w:rsidR="00830CAA" w:rsidRPr="009B7D22" w:rsidRDefault="00830CAA" w:rsidP="00830CAA">
      <w:pPr>
        <w:rPr>
          <w:sz w:val="28"/>
          <w:szCs w:val="28"/>
        </w:rPr>
      </w:pPr>
    </w:p>
    <w:p w:rsidR="00830CAA" w:rsidRPr="009B7D22" w:rsidRDefault="00830CAA" w:rsidP="00830CAA">
      <w:pPr>
        <w:rPr>
          <w:sz w:val="28"/>
          <w:szCs w:val="28"/>
        </w:rPr>
      </w:pPr>
      <w:r w:rsidRPr="009B7D22">
        <w:rPr>
          <w:sz w:val="28"/>
          <w:szCs w:val="28"/>
        </w:rPr>
        <w:t>4. Should hate speech be an exception to free speech?</w:t>
      </w:r>
    </w:p>
    <w:p w:rsidR="00830CAA" w:rsidRPr="009B7D22" w:rsidRDefault="00830CAA" w:rsidP="00830CAA">
      <w:pPr>
        <w:rPr>
          <w:sz w:val="28"/>
          <w:szCs w:val="28"/>
        </w:rPr>
      </w:pPr>
    </w:p>
    <w:p w:rsidR="00830CAA" w:rsidRDefault="00830CAA" w:rsidP="00830CAA">
      <w:pPr>
        <w:rPr>
          <w:sz w:val="28"/>
          <w:szCs w:val="28"/>
        </w:rPr>
      </w:pPr>
      <w:r w:rsidRPr="009B7D22">
        <w:rPr>
          <w:sz w:val="28"/>
          <w:szCs w:val="28"/>
        </w:rPr>
        <w:t xml:space="preserve">5. How do the American and Indian Constitutions compare in their protection of </w:t>
      </w:r>
    </w:p>
    <w:p w:rsidR="00830CAA" w:rsidRDefault="00830CAA" w:rsidP="00830CAA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9B7D22">
        <w:rPr>
          <w:sz w:val="28"/>
          <w:szCs w:val="28"/>
        </w:rPr>
        <w:t>Free speech?</w:t>
      </w:r>
    </w:p>
    <w:p w:rsidR="00D34216" w:rsidRDefault="00D34216" w:rsidP="00830CAA">
      <w:pPr>
        <w:rPr>
          <w:sz w:val="28"/>
          <w:szCs w:val="28"/>
        </w:rPr>
      </w:pPr>
    </w:p>
    <w:p w:rsidR="00830CAA" w:rsidRDefault="00830CAA" w:rsidP="00830CAA">
      <w:pPr>
        <w:rPr>
          <w:sz w:val="28"/>
          <w:szCs w:val="28"/>
        </w:rPr>
      </w:pPr>
    </w:p>
    <w:p w:rsidR="00B9451C" w:rsidRDefault="003B73DA" w:rsidP="0018318B">
      <w:pPr>
        <w:rPr>
          <w:b/>
          <w:sz w:val="28"/>
          <w:szCs w:val="28"/>
        </w:rPr>
      </w:pPr>
      <w:r w:rsidRPr="0079209D">
        <w:rPr>
          <w:b/>
          <w:sz w:val="28"/>
          <w:szCs w:val="28"/>
        </w:rPr>
        <w:t xml:space="preserve">Video </w:t>
      </w:r>
      <w:r w:rsidR="00B34499" w:rsidRPr="0079209D">
        <w:rPr>
          <w:b/>
          <w:sz w:val="28"/>
          <w:szCs w:val="28"/>
        </w:rPr>
        <w:t>3</w:t>
      </w:r>
      <w:r w:rsidR="00B34499">
        <w:rPr>
          <w:b/>
          <w:sz w:val="28"/>
          <w:szCs w:val="28"/>
        </w:rPr>
        <w:t>:</w:t>
      </w:r>
      <w:r w:rsidR="0018318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Topic: Judicial Review and Due Process</w:t>
      </w:r>
      <w:r w:rsidR="00B34499">
        <w:rPr>
          <w:b/>
          <w:sz w:val="28"/>
          <w:szCs w:val="28"/>
        </w:rPr>
        <w:t>.</w:t>
      </w:r>
      <w:r w:rsidR="00D34216">
        <w:rPr>
          <w:b/>
          <w:sz w:val="28"/>
          <w:szCs w:val="28"/>
        </w:rPr>
        <w:t xml:space="preserve"> </w:t>
      </w:r>
    </w:p>
    <w:p w:rsidR="00B9451C" w:rsidRDefault="00B9451C" w:rsidP="0018318B">
      <w:pPr>
        <w:rPr>
          <w:b/>
          <w:sz w:val="28"/>
          <w:szCs w:val="28"/>
        </w:rPr>
      </w:pPr>
    </w:p>
    <w:p w:rsidR="003B73DA" w:rsidRDefault="00D34216" w:rsidP="0018318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Dr. </w:t>
      </w:r>
      <w:proofErr w:type="spellStart"/>
      <w:r>
        <w:rPr>
          <w:b/>
          <w:sz w:val="28"/>
          <w:szCs w:val="28"/>
        </w:rPr>
        <w:t>Abhinav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Chandrachud</w:t>
      </w:r>
      <w:proofErr w:type="spellEnd"/>
      <w:r>
        <w:rPr>
          <w:b/>
          <w:sz w:val="28"/>
          <w:szCs w:val="28"/>
        </w:rPr>
        <w:t xml:space="preserve">, Attorney, High Court of Mumbai in conversation with Professor Mark Tushnet, </w:t>
      </w:r>
      <w:r w:rsidR="001A103A">
        <w:rPr>
          <w:b/>
          <w:sz w:val="28"/>
          <w:szCs w:val="28"/>
        </w:rPr>
        <w:t xml:space="preserve">Professor of Law, Harvard Law School. </w:t>
      </w:r>
    </w:p>
    <w:p w:rsidR="00830CAA" w:rsidRPr="00261901" w:rsidRDefault="00830CAA">
      <w:pPr>
        <w:rPr>
          <w:sz w:val="28"/>
          <w:szCs w:val="28"/>
        </w:rPr>
      </w:pPr>
    </w:p>
    <w:p w:rsidR="005465CD" w:rsidRPr="00261901" w:rsidRDefault="005465CD">
      <w:pPr>
        <w:rPr>
          <w:sz w:val="28"/>
          <w:szCs w:val="28"/>
        </w:rPr>
      </w:pPr>
      <w:r w:rsidRPr="00261901">
        <w:rPr>
          <w:sz w:val="28"/>
          <w:szCs w:val="28"/>
        </w:rPr>
        <w:t>Log in and view them:</w:t>
      </w:r>
    </w:p>
    <w:p w:rsidR="005465CD" w:rsidRPr="00261901" w:rsidRDefault="005465CD" w:rsidP="005465CD">
      <w:pPr>
        <w:rPr>
          <w:sz w:val="28"/>
          <w:szCs w:val="28"/>
        </w:rPr>
      </w:pPr>
    </w:p>
    <w:p w:rsidR="005465CD" w:rsidRPr="00261901" w:rsidRDefault="00261901" w:rsidP="005465CD">
      <w:pPr>
        <w:rPr>
          <w:sz w:val="28"/>
          <w:szCs w:val="28"/>
        </w:rPr>
      </w:pPr>
      <w:hyperlink r:id="rId5" w:history="1">
        <w:r w:rsidR="005465CD" w:rsidRPr="00261901">
          <w:rPr>
            <w:rStyle w:val="Hyperlink"/>
            <w:sz w:val="28"/>
            <w:szCs w:val="28"/>
          </w:rPr>
          <w:t>https://www.youtube.com/playlist?list=PL_o-rViuTiXJ5j__-WC-j5xVeTQV1Rk4w</w:t>
        </w:r>
      </w:hyperlink>
    </w:p>
    <w:p w:rsidR="00D34216" w:rsidRPr="00261901" w:rsidRDefault="00D34216">
      <w:pPr>
        <w:rPr>
          <w:sz w:val="28"/>
          <w:szCs w:val="28"/>
        </w:rPr>
      </w:pPr>
      <w:bookmarkStart w:id="0" w:name="_GoBack"/>
      <w:bookmarkEnd w:id="0"/>
    </w:p>
    <w:sectPr w:rsidR="00D34216" w:rsidRPr="002619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42A63"/>
    <w:multiLevelType w:val="hybridMultilevel"/>
    <w:tmpl w:val="7DFCC33A"/>
    <w:lvl w:ilvl="0" w:tplc="0409000F">
      <w:start w:val="3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B07BA"/>
    <w:multiLevelType w:val="hybridMultilevel"/>
    <w:tmpl w:val="4172419C"/>
    <w:lvl w:ilvl="0" w:tplc="04090001">
      <w:start w:val="1"/>
      <w:numFmt w:val="bullet"/>
      <w:lvlText w:val=""/>
      <w:lvlJc w:val="left"/>
      <w:pPr>
        <w:ind w:left="1130" w:hanging="410"/>
      </w:pPr>
      <w:rPr>
        <w:rFonts w:ascii="Symbol" w:hAnsi="Symbol" w:hint="default"/>
        <w:sz w:val="28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sz w:val="28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9F85A73"/>
    <w:multiLevelType w:val="hybridMultilevel"/>
    <w:tmpl w:val="8488EB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8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44E4E61"/>
    <w:multiLevelType w:val="hybridMultilevel"/>
    <w:tmpl w:val="5ED46E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F43F40"/>
    <w:multiLevelType w:val="hybridMultilevel"/>
    <w:tmpl w:val="CF14EFB8"/>
    <w:lvl w:ilvl="0" w:tplc="04090001">
      <w:start w:val="1"/>
      <w:numFmt w:val="bullet"/>
      <w:lvlText w:val=""/>
      <w:lvlJc w:val="left"/>
      <w:pPr>
        <w:ind w:left="1540" w:hanging="410"/>
      </w:pPr>
      <w:rPr>
        <w:rFonts w:ascii="Symbol" w:hAnsi="Symbol" w:hint="default"/>
        <w:sz w:val="28"/>
      </w:rPr>
    </w:lvl>
    <w:lvl w:ilvl="1" w:tplc="F61E5D12">
      <w:numFmt w:val="bullet"/>
      <w:lvlText w:val="-"/>
      <w:lvlJc w:val="left"/>
      <w:pPr>
        <w:ind w:left="2210" w:hanging="360"/>
      </w:pPr>
      <w:rPr>
        <w:rFonts w:ascii="Times New Roman" w:eastAsia="Times New Roman" w:hAnsi="Times New Roman" w:cs="Times New Roman" w:hint="default"/>
        <w:sz w:val="28"/>
      </w:rPr>
    </w:lvl>
    <w:lvl w:ilvl="2" w:tplc="04090005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7D5"/>
    <w:rsid w:val="000743B2"/>
    <w:rsid w:val="000B02E9"/>
    <w:rsid w:val="0018318B"/>
    <w:rsid w:val="001A103A"/>
    <w:rsid w:val="00261901"/>
    <w:rsid w:val="003B73DA"/>
    <w:rsid w:val="004B50FD"/>
    <w:rsid w:val="005465CD"/>
    <w:rsid w:val="005C0DCF"/>
    <w:rsid w:val="005C6CE9"/>
    <w:rsid w:val="007F6733"/>
    <w:rsid w:val="00830CAA"/>
    <w:rsid w:val="008A1907"/>
    <w:rsid w:val="00A05EE3"/>
    <w:rsid w:val="00AA1BC7"/>
    <w:rsid w:val="00B34499"/>
    <w:rsid w:val="00B817D5"/>
    <w:rsid w:val="00B9451C"/>
    <w:rsid w:val="00CA0812"/>
    <w:rsid w:val="00CB3DF6"/>
    <w:rsid w:val="00D34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2A3C27"/>
  <w15:chartTrackingRefBased/>
  <w15:docId w15:val="{140010E5-B859-408D-88CC-762D89C36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19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aliases w:val="Dot pt Char,F5 List Paragraph Char,List Paragraph Char Char Char Char,Indicator Text Char,Numbered Para 1 Char,Bullet 1 Char,Bullet Points Char,List Paragraph2 Char,MAIN CONTENT Char,Normal numbered Char,List Paragraph1 Char,3 Char"/>
    <w:basedOn w:val="DefaultParagraphFont"/>
    <w:link w:val="ListParagraph"/>
    <w:uiPriority w:val="34"/>
    <w:qFormat/>
    <w:locked/>
    <w:rsid w:val="008A1907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aliases w:val="Dot pt,F5 List Paragraph,List Paragraph Char Char Char,Indicator Text,Numbered Para 1,Bullet 1,Bullet Points,List Paragraph2,MAIN CONTENT,Normal numbered,List Paragraph1,Colorful List - Accent 11,Issue Action POC,3,POCG Table Text,Bullet"/>
    <w:basedOn w:val="Normal"/>
    <w:link w:val="ListParagraphChar"/>
    <w:uiPriority w:val="34"/>
    <w:qFormat/>
    <w:rsid w:val="008A1907"/>
    <w:pPr>
      <w:ind w:left="720"/>
      <w:contextualSpacing/>
    </w:pPr>
  </w:style>
  <w:style w:type="paragraph" w:customStyle="1" w:styleId="xmsonormal">
    <w:name w:val="x_msonormal"/>
    <w:basedOn w:val="Normal"/>
    <w:rsid w:val="008A1907"/>
    <w:pPr>
      <w:spacing w:before="100" w:beforeAutospacing="1" w:after="100" w:afterAutospacing="1"/>
    </w:pPr>
    <w:rPr>
      <w:rFonts w:eastAsiaTheme="minorHAnsi"/>
    </w:rPr>
  </w:style>
  <w:style w:type="character" w:customStyle="1" w:styleId="xapple-converted-space">
    <w:name w:val="x_apple-converted-space"/>
    <w:basedOn w:val="DefaultParagraphFont"/>
    <w:rsid w:val="008A1907"/>
  </w:style>
  <w:style w:type="character" w:styleId="Hyperlink">
    <w:name w:val="Hyperlink"/>
    <w:basedOn w:val="DefaultParagraphFont"/>
    <w:uiPriority w:val="99"/>
    <w:semiHidden/>
    <w:unhideWhenUsed/>
    <w:rsid w:val="005465C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95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playlist?list=PL_o-rViuTiXJ5j__-WC-j5xVeTQV1Rk4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2</Pages>
  <Words>363</Words>
  <Characters>2071</Characters>
  <Application>Microsoft Office Word</Application>
  <DocSecurity>0</DocSecurity>
  <Lines>17</Lines>
  <Paragraphs>4</Paragraphs>
  <ScaleCrop>false</ScaleCrop>
  <Company>U.S. Department of State</Company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Davalur, Usha P</dc:creator>
  <cp:keywords/>
  <dc:description/>
  <cp:lastModifiedBy>Davalur, Usha P</cp:lastModifiedBy>
  <cp:revision>19</cp:revision>
  <dcterms:created xsi:type="dcterms:W3CDTF">2019-07-09T09:38:00Z</dcterms:created>
  <dcterms:modified xsi:type="dcterms:W3CDTF">2019-07-10T09:12:00Z</dcterms:modified>
</cp:coreProperties>
</file>