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02E" w:rsidRPr="0010702E" w:rsidRDefault="0010702E" w:rsidP="0036518C">
      <w:pPr>
        <w:spacing w:after="0" w:line="240" w:lineRule="auto"/>
        <w:jc w:val="center"/>
        <w:rPr>
          <w:rFonts w:ascii="Bookman Old Style" w:hAnsi="Bookman Old Style"/>
          <w:b/>
          <w:sz w:val="30"/>
          <w:szCs w:val="30"/>
          <w:lang w:val="en-US"/>
        </w:rPr>
      </w:pPr>
      <w:r w:rsidRPr="0010702E">
        <w:rPr>
          <w:rFonts w:ascii="Bookman Old Style" w:hAnsi="Bookman Old Style"/>
          <w:b/>
          <w:bCs/>
          <w:sz w:val="30"/>
          <w:szCs w:val="30"/>
          <w:lang w:val="en-US"/>
        </w:rPr>
        <w:t>T</w:t>
      </w:r>
      <w:r w:rsidR="0036518C">
        <w:rPr>
          <w:rFonts w:ascii="Bookman Old Style" w:hAnsi="Bookman Old Style"/>
          <w:b/>
          <w:bCs/>
          <w:sz w:val="30"/>
          <w:szCs w:val="30"/>
          <w:lang w:val="en-US"/>
        </w:rPr>
        <w:t>ILA INTERNATIONAL</w:t>
      </w:r>
      <w:r w:rsidRPr="0010702E">
        <w:rPr>
          <w:rFonts w:ascii="Bookman Old Style" w:hAnsi="Bookman Old Style"/>
          <w:b/>
          <w:bCs/>
          <w:sz w:val="30"/>
          <w:szCs w:val="30"/>
          <w:lang w:val="en-US"/>
        </w:rPr>
        <w:t xml:space="preserve"> MOOT COURT COMPETITION</w:t>
      </w:r>
      <w:r w:rsidR="0036518C">
        <w:rPr>
          <w:rFonts w:ascii="Bookman Old Style" w:hAnsi="Bookman Old Style"/>
          <w:b/>
          <w:bCs/>
          <w:sz w:val="30"/>
          <w:szCs w:val="30"/>
          <w:lang w:val="en-US"/>
        </w:rPr>
        <w:t xml:space="preserve"> ON </w:t>
      </w:r>
      <w:r w:rsidR="0036518C" w:rsidRPr="0010702E">
        <w:rPr>
          <w:rFonts w:ascii="Bookman Old Style" w:hAnsi="Bookman Old Style"/>
          <w:b/>
          <w:bCs/>
          <w:sz w:val="30"/>
          <w:szCs w:val="30"/>
          <w:lang w:val="en-US"/>
        </w:rPr>
        <w:t>ENERGY</w:t>
      </w:r>
      <w:r w:rsidR="0036518C">
        <w:rPr>
          <w:rFonts w:ascii="Bookman Old Style" w:hAnsi="Bookman Old Style"/>
          <w:b/>
          <w:bCs/>
          <w:sz w:val="30"/>
          <w:szCs w:val="30"/>
          <w:lang w:val="en-US"/>
        </w:rPr>
        <w:t xml:space="preserve"> (TIMCCE) 2018</w:t>
      </w:r>
    </w:p>
    <w:p w:rsidR="0010702E" w:rsidRDefault="00FC7781" w:rsidP="00FC7781">
      <w:pPr>
        <w:spacing w:after="0" w:line="240" w:lineRule="auto"/>
        <w:ind w:left="142"/>
        <w:jc w:val="center"/>
        <w:rPr>
          <w:rFonts w:ascii="Bookman Old Style" w:hAnsi="Bookman Old Style"/>
          <w:sz w:val="20"/>
          <w:szCs w:val="20"/>
          <w:lang w:val="en-US"/>
        </w:rPr>
      </w:pPr>
      <w:r w:rsidRPr="00FC7781">
        <w:rPr>
          <w:rFonts w:ascii="Bookman Old Style" w:hAnsi="Bookman Old Style"/>
          <w:b/>
          <w:bCs/>
          <w:sz w:val="30"/>
          <w:szCs w:val="30"/>
          <w:lang w:val="en-US"/>
        </w:rPr>
        <w:t>@ Banasthali Vidyapith, Jaipur, INDIA</w:t>
      </w:r>
      <w:r>
        <w:rPr>
          <w:rFonts w:ascii="Bookman Old Style" w:hAnsi="Bookman Old Style"/>
          <w:sz w:val="20"/>
          <w:szCs w:val="20"/>
          <w:lang w:val="en-US"/>
        </w:rPr>
        <w:t>.</w:t>
      </w:r>
    </w:p>
    <w:p w:rsidR="00FC7781" w:rsidRDefault="0010702E" w:rsidP="0010702E">
      <w:pPr>
        <w:spacing w:after="0"/>
        <w:ind w:right="-157"/>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672EFE">
        <w:rPr>
          <w:rFonts w:ascii="Times New Roman" w:hAnsi="Times New Roman" w:cs="Times New Roman"/>
          <w:b/>
          <w:sz w:val="24"/>
          <w:szCs w:val="24"/>
        </w:rPr>
        <w:t xml:space="preserve"> </w:t>
      </w:r>
    </w:p>
    <w:p w:rsidR="001A720E" w:rsidRPr="00CC7E40" w:rsidRDefault="0010702E" w:rsidP="00FC7781">
      <w:pPr>
        <w:spacing w:after="0"/>
        <w:ind w:right="-157"/>
        <w:jc w:val="center"/>
        <w:rPr>
          <w:rFonts w:ascii="Times New Roman" w:hAnsi="Times New Roman" w:cs="Times New Roman"/>
          <w:b/>
          <w:sz w:val="24"/>
          <w:szCs w:val="24"/>
        </w:rPr>
      </w:pPr>
      <w:r>
        <w:rPr>
          <w:rFonts w:ascii="Times New Roman" w:hAnsi="Times New Roman" w:cs="Times New Roman"/>
          <w:b/>
          <w:sz w:val="24"/>
          <w:szCs w:val="24"/>
        </w:rPr>
        <w:t>MOOT PROBLEM</w:t>
      </w:r>
    </w:p>
    <w:p w:rsidR="0010702E" w:rsidRDefault="007E2907" w:rsidP="007E2907">
      <w:pPr>
        <w:spacing w:after="0"/>
        <w:ind w:left="720" w:firstLine="720"/>
        <w:rPr>
          <w:rFonts w:ascii="Times New Roman" w:hAnsi="Times New Roman" w:cs="Times New Roman"/>
          <w:b/>
          <w:sz w:val="24"/>
          <w:szCs w:val="24"/>
        </w:rPr>
      </w:pPr>
      <w:r>
        <w:rPr>
          <w:rFonts w:ascii="Times New Roman" w:hAnsi="Times New Roman" w:cs="Times New Roman"/>
          <w:b/>
          <w:sz w:val="24"/>
          <w:szCs w:val="24"/>
        </w:rPr>
        <w:t xml:space="preserve"> </w:t>
      </w:r>
      <w:r w:rsidR="00F61725">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10702E" w:rsidRDefault="0010702E" w:rsidP="007E2907">
      <w:pPr>
        <w:spacing w:after="0"/>
        <w:ind w:left="720" w:firstLine="720"/>
        <w:rPr>
          <w:rFonts w:ascii="Times New Roman" w:hAnsi="Times New Roman" w:cs="Times New Roman"/>
          <w:b/>
          <w:sz w:val="24"/>
          <w:szCs w:val="24"/>
        </w:rPr>
      </w:pPr>
    </w:p>
    <w:p w:rsidR="0010702E" w:rsidRDefault="0010702E" w:rsidP="007E2907">
      <w:pPr>
        <w:spacing w:after="0"/>
        <w:ind w:left="720" w:firstLine="720"/>
        <w:rPr>
          <w:rFonts w:ascii="Times New Roman" w:hAnsi="Times New Roman" w:cs="Times New Roman"/>
          <w:b/>
          <w:sz w:val="24"/>
          <w:szCs w:val="24"/>
        </w:rPr>
      </w:pPr>
    </w:p>
    <w:p w:rsidR="00672EFE" w:rsidRDefault="00672EFE" w:rsidP="0010702E">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672EFE" w:rsidRPr="00672EFE" w:rsidRDefault="00672EFE" w:rsidP="0010702E">
      <w:pPr>
        <w:spacing w:after="0"/>
        <w:rPr>
          <w:rFonts w:ascii="Times New Roman" w:hAnsi="Times New Roman" w:cs="Times New Roman"/>
          <w:b/>
          <w:sz w:val="32"/>
          <w:szCs w:val="32"/>
        </w:rPr>
      </w:pPr>
    </w:p>
    <w:p w:rsidR="0010702E" w:rsidRPr="00672EFE" w:rsidRDefault="00672EFE" w:rsidP="00672EFE">
      <w:pPr>
        <w:spacing w:after="0"/>
        <w:rPr>
          <w:rFonts w:ascii="Times New Roman" w:hAnsi="Times New Roman" w:cs="Times New Roman"/>
          <w:b/>
          <w:sz w:val="32"/>
          <w:szCs w:val="32"/>
        </w:rPr>
      </w:pPr>
      <w:r>
        <w:rPr>
          <w:rFonts w:ascii="Times New Roman" w:hAnsi="Times New Roman" w:cs="Times New Roman"/>
          <w:b/>
          <w:sz w:val="32"/>
          <w:szCs w:val="32"/>
        </w:rPr>
        <w:t xml:space="preserve">                  </w:t>
      </w:r>
      <w:r w:rsidRPr="00672EFE">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Pr="00672EFE">
        <w:rPr>
          <w:rFonts w:ascii="Times New Roman" w:hAnsi="Times New Roman" w:cs="Times New Roman"/>
          <w:b/>
          <w:sz w:val="32"/>
          <w:szCs w:val="32"/>
        </w:rPr>
        <w:t xml:space="preserve"> </w:t>
      </w:r>
      <w:r w:rsidR="00263C80" w:rsidRPr="00672EFE">
        <w:rPr>
          <w:rFonts w:ascii="Times New Roman" w:hAnsi="Times New Roman" w:cs="Times New Roman"/>
          <w:b/>
          <w:sz w:val="32"/>
          <w:szCs w:val="32"/>
        </w:rPr>
        <w:t xml:space="preserve">State </w:t>
      </w:r>
      <w:r w:rsidR="00CC7E40" w:rsidRPr="00672EFE">
        <w:rPr>
          <w:rFonts w:ascii="Times New Roman" w:hAnsi="Times New Roman" w:cs="Times New Roman"/>
          <w:b/>
          <w:sz w:val="32"/>
          <w:szCs w:val="32"/>
        </w:rPr>
        <w:t xml:space="preserve">of </w:t>
      </w:r>
      <w:r w:rsidR="0085471B" w:rsidRPr="00672EFE">
        <w:rPr>
          <w:rFonts w:ascii="Times New Roman" w:hAnsi="Times New Roman" w:cs="Times New Roman"/>
          <w:b/>
          <w:sz w:val="32"/>
          <w:szCs w:val="32"/>
        </w:rPr>
        <w:t>Delaware</w:t>
      </w:r>
      <w:r w:rsidR="0085471B">
        <w:rPr>
          <w:rFonts w:ascii="Times New Roman" w:hAnsi="Times New Roman" w:cs="Times New Roman"/>
          <w:b/>
          <w:sz w:val="32"/>
          <w:szCs w:val="32"/>
        </w:rPr>
        <w:t xml:space="preserve"> and</w:t>
      </w:r>
      <w:r w:rsidR="0010702E" w:rsidRPr="00672EFE">
        <w:rPr>
          <w:rFonts w:ascii="Times New Roman" w:hAnsi="Times New Roman" w:cs="Times New Roman"/>
          <w:b/>
          <w:sz w:val="32"/>
          <w:szCs w:val="32"/>
        </w:rPr>
        <w:t xml:space="preserve"> North Atlantic Edison Inc </w:t>
      </w:r>
    </w:p>
    <w:p w:rsidR="00672EFE" w:rsidRPr="00672EFE" w:rsidRDefault="00672EFE" w:rsidP="0010702E">
      <w:pPr>
        <w:spacing w:after="0"/>
        <w:ind w:left="4320"/>
        <w:rPr>
          <w:rFonts w:ascii="Times New Roman" w:hAnsi="Times New Roman" w:cs="Times New Roman"/>
          <w:b/>
          <w:sz w:val="32"/>
          <w:szCs w:val="32"/>
        </w:rPr>
      </w:pPr>
    </w:p>
    <w:p w:rsidR="00672EFE" w:rsidRPr="00672EFE" w:rsidRDefault="00263C80" w:rsidP="0010702E">
      <w:pPr>
        <w:spacing w:after="0"/>
        <w:ind w:left="4320"/>
        <w:rPr>
          <w:rFonts w:ascii="Times New Roman" w:hAnsi="Times New Roman" w:cs="Times New Roman"/>
          <w:b/>
          <w:sz w:val="32"/>
          <w:szCs w:val="32"/>
        </w:rPr>
      </w:pPr>
      <w:r w:rsidRPr="00672EFE">
        <w:rPr>
          <w:rFonts w:ascii="Times New Roman" w:hAnsi="Times New Roman" w:cs="Times New Roman"/>
          <w:b/>
          <w:sz w:val="32"/>
          <w:szCs w:val="32"/>
        </w:rPr>
        <w:t xml:space="preserve"> </w:t>
      </w:r>
      <w:r w:rsidR="00672EFE">
        <w:rPr>
          <w:rFonts w:ascii="Times New Roman" w:hAnsi="Times New Roman" w:cs="Times New Roman"/>
          <w:b/>
          <w:sz w:val="32"/>
          <w:szCs w:val="32"/>
        </w:rPr>
        <w:t xml:space="preserve"> </w:t>
      </w:r>
      <w:r w:rsidRPr="00672EFE">
        <w:rPr>
          <w:rFonts w:ascii="Times New Roman" w:hAnsi="Times New Roman" w:cs="Times New Roman"/>
          <w:b/>
          <w:sz w:val="32"/>
          <w:szCs w:val="32"/>
        </w:rPr>
        <w:t>V</w:t>
      </w:r>
      <w:r w:rsidR="00641A61">
        <w:rPr>
          <w:rFonts w:ascii="Times New Roman" w:hAnsi="Times New Roman" w:cs="Times New Roman"/>
          <w:b/>
          <w:sz w:val="32"/>
          <w:szCs w:val="32"/>
        </w:rPr>
        <w:t>s</w:t>
      </w:r>
      <w:r w:rsidRPr="00672EFE">
        <w:rPr>
          <w:rFonts w:ascii="Times New Roman" w:hAnsi="Times New Roman" w:cs="Times New Roman"/>
          <w:b/>
          <w:sz w:val="32"/>
          <w:szCs w:val="32"/>
        </w:rPr>
        <w:t>.</w:t>
      </w:r>
    </w:p>
    <w:p w:rsidR="0010702E" w:rsidRPr="00672EFE" w:rsidRDefault="00263C80" w:rsidP="0010702E">
      <w:pPr>
        <w:spacing w:after="0"/>
        <w:ind w:left="4320"/>
        <w:rPr>
          <w:rFonts w:ascii="Times New Roman" w:hAnsi="Times New Roman" w:cs="Times New Roman"/>
          <w:b/>
          <w:sz w:val="32"/>
          <w:szCs w:val="32"/>
        </w:rPr>
      </w:pPr>
      <w:r w:rsidRPr="00672EFE">
        <w:rPr>
          <w:rFonts w:ascii="Times New Roman" w:hAnsi="Times New Roman" w:cs="Times New Roman"/>
          <w:b/>
          <w:sz w:val="32"/>
          <w:szCs w:val="32"/>
        </w:rPr>
        <w:t xml:space="preserve"> </w:t>
      </w:r>
    </w:p>
    <w:p w:rsidR="00CC7E40" w:rsidRDefault="00672EFE" w:rsidP="00672EFE">
      <w:pPr>
        <w:spacing w:after="0"/>
        <w:rPr>
          <w:rFonts w:ascii="Times New Roman" w:hAnsi="Times New Roman" w:cs="Times New Roman"/>
          <w:b/>
          <w:sz w:val="32"/>
          <w:szCs w:val="32"/>
        </w:rPr>
      </w:pPr>
      <w:r>
        <w:rPr>
          <w:rFonts w:ascii="Times New Roman" w:hAnsi="Times New Roman" w:cs="Times New Roman"/>
          <w:b/>
          <w:sz w:val="32"/>
          <w:szCs w:val="32"/>
        </w:rPr>
        <w:t xml:space="preserve">                          </w:t>
      </w:r>
      <w:r w:rsidR="00B10F57">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CC7E40" w:rsidRPr="00672EFE">
        <w:rPr>
          <w:rFonts w:ascii="Times New Roman" w:hAnsi="Times New Roman" w:cs="Times New Roman"/>
          <w:b/>
          <w:sz w:val="32"/>
          <w:szCs w:val="32"/>
        </w:rPr>
        <w:t xml:space="preserve">Thermal </w:t>
      </w:r>
      <w:r w:rsidR="00DE633D" w:rsidRPr="00672EFE">
        <w:rPr>
          <w:rFonts w:ascii="Times New Roman" w:hAnsi="Times New Roman" w:cs="Times New Roman"/>
          <w:b/>
          <w:sz w:val="32"/>
          <w:szCs w:val="32"/>
        </w:rPr>
        <w:t>Power</w:t>
      </w:r>
      <w:r w:rsidR="00CC7E40" w:rsidRPr="00672EFE">
        <w:rPr>
          <w:rFonts w:ascii="Times New Roman" w:hAnsi="Times New Roman" w:cs="Times New Roman"/>
          <w:b/>
          <w:sz w:val="32"/>
          <w:szCs w:val="32"/>
        </w:rPr>
        <w:t xml:space="preserve"> Corporation</w:t>
      </w:r>
      <w:r w:rsidR="00DE633D" w:rsidRPr="00672EFE">
        <w:rPr>
          <w:rFonts w:ascii="Times New Roman" w:hAnsi="Times New Roman" w:cs="Times New Roman"/>
          <w:b/>
          <w:sz w:val="32"/>
          <w:szCs w:val="32"/>
        </w:rPr>
        <w:t xml:space="preserve"> (TP</w:t>
      </w:r>
      <w:r w:rsidR="00C81704" w:rsidRPr="00672EFE">
        <w:rPr>
          <w:rFonts w:ascii="Times New Roman" w:hAnsi="Times New Roman" w:cs="Times New Roman"/>
          <w:b/>
          <w:sz w:val="32"/>
          <w:szCs w:val="32"/>
        </w:rPr>
        <w:t>C)</w:t>
      </w:r>
    </w:p>
    <w:p w:rsidR="00672EFE" w:rsidRPr="00672EFE" w:rsidRDefault="00672EFE" w:rsidP="00672EFE">
      <w:pPr>
        <w:spacing w:after="0"/>
        <w:rPr>
          <w:rFonts w:ascii="Times New Roman" w:hAnsi="Times New Roman" w:cs="Times New Roman"/>
          <w:b/>
          <w:sz w:val="32"/>
          <w:szCs w:val="32"/>
        </w:rPr>
      </w:pPr>
    </w:p>
    <w:p w:rsidR="00F61725" w:rsidRDefault="00F61725" w:rsidP="001A720E">
      <w:pPr>
        <w:spacing w:after="0"/>
        <w:rPr>
          <w:rFonts w:ascii="Times New Roman" w:hAnsi="Times New Roman" w:cs="Times New Roman"/>
          <w:b/>
          <w:sz w:val="24"/>
          <w:szCs w:val="24"/>
        </w:rPr>
      </w:pPr>
    </w:p>
    <w:p w:rsidR="00122952" w:rsidRPr="00F0581C" w:rsidRDefault="00122952" w:rsidP="001A720E">
      <w:pPr>
        <w:spacing w:after="0"/>
        <w:rPr>
          <w:rFonts w:ascii="Times New Roman" w:hAnsi="Times New Roman" w:cs="Times New Roman"/>
          <w:b/>
        </w:rPr>
      </w:pPr>
    </w:p>
    <w:p w:rsidR="002A03C8" w:rsidRPr="00EB5449" w:rsidRDefault="002A03C8" w:rsidP="00EB5449">
      <w:pPr>
        <w:spacing w:after="0" w:line="360" w:lineRule="auto"/>
        <w:jc w:val="both"/>
        <w:rPr>
          <w:rFonts w:ascii="Times New Roman" w:hAnsi="Times New Roman" w:cs="Times New Roman"/>
        </w:rPr>
      </w:pPr>
      <w:r w:rsidRPr="00EB5449">
        <w:rPr>
          <w:rFonts w:ascii="Times New Roman" w:hAnsi="Times New Roman" w:cs="Times New Roman"/>
        </w:rPr>
        <w:t>Delaware</w:t>
      </w:r>
      <w:r w:rsidR="00263C80" w:rsidRPr="00EB5449">
        <w:rPr>
          <w:rFonts w:ascii="Times New Roman" w:hAnsi="Times New Roman" w:cs="Times New Roman"/>
        </w:rPr>
        <w:t xml:space="preserve"> Electricity Board</w:t>
      </w:r>
      <w:r w:rsidR="00CC769C" w:rsidRPr="00EB5449">
        <w:rPr>
          <w:rFonts w:ascii="Times New Roman" w:hAnsi="Times New Roman" w:cs="Times New Roman"/>
        </w:rPr>
        <w:t xml:space="preserve"> (DEB)</w:t>
      </w:r>
      <w:r w:rsidR="00263C80" w:rsidRPr="00EB5449">
        <w:rPr>
          <w:rFonts w:ascii="Times New Roman" w:hAnsi="Times New Roman" w:cs="Times New Roman"/>
        </w:rPr>
        <w:t xml:space="preserve"> was a state ru</w:t>
      </w:r>
      <w:r w:rsidRPr="00EB5449">
        <w:rPr>
          <w:rFonts w:ascii="Times New Roman" w:hAnsi="Times New Roman" w:cs="Times New Roman"/>
        </w:rPr>
        <w:t>n electricity distribution firm,</w:t>
      </w:r>
      <w:r w:rsidR="001A720E" w:rsidRPr="00EB5449">
        <w:rPr>
          <w:rFonts w:ascii="Times New Roman" w:hAnsi="Times New Roman" w:cs="Times New Roman"/>
        </w:rPr>
        <w:t xml:space="preserve"> which was</w:t>
      </w:r>
      <w:r w:rsidR="00CC7E40" w:rsidRPr="00EB5449">
        <w:rPr>
          <w:rFonts w:ascii="Times New Roman" w:hAnsi="Times New Roman" w:cs="Times New Roman"/>
        </w:rPr>
        <w:t xml:space="preserve"> </w:t>
      </w:r>
      <w:r w:rsidR="00D22467" w:rsidRPr="00EB5449">
        <w:rPr>
          <w:rFonts w:ascii="Times New Roman" w:hAnsi="Times New Roman" w:cs="Times New Roman"/>
        </w:rPr>
        <w:t xml:space="preserve">low </w:t>
      </w:r>
      <w:r w:rsidR="001A720E" w:rsidRPr="00EB5449">
        <w:rPr>
          <w:rFonts w:ascii="Times New Roman" w:hAnsi="Times New Roman" w:cs="Times New Roman"/>
        </w:rPr>
        <w:t xml:space="preserve">in </w:t>
      </w:r>
      <w:r w:rsidR="00D22467" w:rsidRPr="00EB5449">
        <w:rPr>
          <w:rFonts w:ascii="Times New Roman" w:hAnsi="Times New Roman" w:cs="Times New Roman"/>
        </w:rPr>
        <w:t xml:space="preserve">operating efficiency and was </w:t>
      </w:r>
      <w:r w:rsidRPr="00EB5449">
        <w:rPr>
          <w:rFonts w:ascii="Times New Roman" w:hAnsi="Times New Roman" w:cs="Times New Roman"/>
        </w:rPr>
        <w:t>running in heavy losses</w:t>
      </w:r>
      <w:r w:rsidR="00D22467" w:rsidRPr="00EB5449">
        <w:rPr>
          <w:rFonts w:ascii="Times New Roman" w:hAnsi="Times New Roman" w:cs="Times New Roman"/>
        </w:rPr>
        <w:t xml:space="preserve">. </w:t>
      </w:r>
      <w:r w:rsidRPr="00EB5449">
        <w:rPr>
          <w:rFonts w:ascii="Times New Roman" w:hAnsi="Times New Roman" w:cs="Times New Roman"/>
        </w:rPr>
        <w:t xml:space="preserve">So </w:t>
      </w:r>
      <w:r w:rsidR="00CC7E40" w:rsidRPr="00EB5449">
        <w:rPr>
          <w:rFonts w:ascii="Times New Roman" w:hAnsi="Times New Roman" w:cs="Times New Roman"/>
        </w:rPr>
        <w:t xml:space="preserve">it </w:t>
      </w:r>
      <w:r w:rsidR="00CC7E40" w:rsidRPr="00EB5449">
        <w:rPr>
          <w:rFonts w:ascii="Times New Roman" w:hAnsi="Times New Roman" w:cs="Times New Roman"/>
          <w:color w:val="000000"/>
        </w:rPr>
        <w:t>was disbanded in 2003</w:t>
      </w:r>
      <w:r w:rsidR="009F66DF" w:rsidRPr="00EB5449">
        <w:rPr>
          <w:rFonts w:ascii="Times New Roman" w:hAnsi="Times New Roman" w:cs="Times New Roman"/>
          <w:color w:val="000000"/>
        </w:rPr>
        <w:t>,</w:t>
      </w:r>
      <w:r w:rsidR="00CC7E40" w:rsidRPr="00EB5449">
        <w:rPr>
          <w:rFonts w:ascii="Times New Roman" w:hAnsi="Times New Roman" w:cs="Times New Roman"/>
          <w:color w:val="000000"/>
        </w:rPr>
        <w:t xml:space="preserve"> as part of reforms in the power sector, </w:t>
      </w:r>
      <w:r w:rsidR="00263C80" w:rsidRPr="00EB5449">
        <w:rPr>
          <w:rFonts w:ascii="Times New Roman" w:hAnsi="Times New Roman" w:cs="Times New Roman"/>
        </w:rPr>
        <w:t xml:space="preserve">to increase </w:t>
      </w:r>
      <w:r w:rsidRPr="00EB5449">
        <w:rPr>
          <w:rFonts w:ascii="Times New Roman" w:hAnsi="Times New Roman" w:cs="Times New Roman"/>
        </w:rPr>
        <w:t>the</w:t>
      </w:r>
      <w:r w:rsidR="00263C80" w:rsidRPr="00EB5449">
        <w:rPr>
          <w:rFonts w:ascii="Times New Roman" w:hAnsi="Times New Roman" w:cs="Times New Roman"/>
        </w:rPr>
        <w:t xml:space="preserve"> efficiency of power distribution and </w:t>
      </w:r>
      <w:r w:rsidRPr="00EB5449">
        <w:rPr>
          <w:rFonts w:ascii="Times New Roman" w:hAnsi="Times New Roman" w:cs="Times New Roman"/>
        </w:rPr>
        <w:t xml:space="preserve">to ensure uninterrupted power supply in the city. </w:t>
      </w:r>
      <w:r w:rsidR="00F0581C" w:rsidRPr="00EB5449">
        <w:rPr>
          <w:rFonts w:ascii="Times New Roman" w:hAnsi="Times New Roman" w:cs="Times New Roman"/>
        </w:rPr>
        <w:t xml:space="preserve">Delaware is the capital city of Indiana. Indiana is a common law country having cultural, social, geographical and political and legal system similar to that of India. </w:t>
      </w:r>
    </w:p>
    <w:p w:rsidR="0085471B" w:rsidRDefault="0085471B" w:rsidP="00EB5449">
      <w:pPr>
        <w:spacing w:after="0" w:line="360" w:lineRule="auto"/>
        <w:jc w:val="both"/>
        <w:rPr>
          <w:rFonts w:ascii="Times New Roman" w:hAnsi="Times New Roman" w:cs="Times New Roman"/>
        </w:rPr>
      </w:pPr>
    </w:p>
    <w:p w:rsidR="004271B9" w:rsidRPr="00EB5449" w:rsidRDefault="00965CC5" w:rsidP="00EB5449">
      <w:pPr>
        <w:spacing w:after="0" w:line="360" w:lineRule="auto"/>
        <w:jc w:val="both"/>
        <w:rPr>
          <w:rFonts w:ascii="Times New Roman" w:hAnsi="Times New Roman" w:cs="Times New Roman"/>
        </w:rPr>
      </w:pPr>
      <w:r w:rsidRPr="00EB5449">
        <w:rPr>
          <w:rFonts w:ascii="Times New Roman" w:hAnsi="Times New Roman" w:cs="Times New Roman"/>
        </w:rPr>
        <w:t>In the year 2003, under a competitive bidding Delaware Electricity Board was privatized and was taken over by North Atlantic</w:t>
      </w:r>
      <w:r w:rsidR="00EB5449">
        <w:rPr>
          <w:rFonts w:ascii="Times New Roman" w:hAnsi="Times New Roman" w:cs="Times New Roman"/>
        </w:rPr>
        <w:t xml:space="preserve"> Edison Inc, an UK</w:t>
      </w:r>
      <w:r w:rsidR="00216CB5" w:rsidRPr="00EB5449">
        <w:rPr>
          <w:rFonts w:ascii="Times New Roman" w:hAnsi="Times New Roman" w:cs="Times New Roman"/>
        </w:rPr>
        <w:t xml:space="preserve"> based energy company</w:t>
      </w:r>
      <w:r w:rsidRPr="00EB5449">
        <w:rPr>
          <w:rFonts w:ascii="Times New Roman" w:hAnsi="Times New Roman" w:cs="Times New Roman"/>
        </w:rPr>
        <w:t>. Acquirement of Delaware Electricity Board by North Atlantic Edison Inc. was at that point of time the biggest energy acquisition done by any Int</w:t>
      </w:r>
      <w:r w:rsidR="00216CB5" w:rsidRPr="00EB5449">
        <w:rPr>
          <w:rFonts w:ascii="Times New Roman" w:hAnsi="Times New Roman" w:cs="Times New Roman"/>
        </w:rPr>
        <w:t>ernational energy firm in Indiana.</w:t>
      </w:r>
      <w:r w:rsidRPr="00EB5449">
        <w:rPr>
          <w:rFonts w:ascii="Times New Roman" w:hAnsi="Times New Roman" w:cs="Times New Roman"/>
        </w:rPr>
        <w:t xml:space="preserve"> </w:t>
      </w:r>
    </w:p>
    <w:p w:rsidR="00122952" w:rsidRPr="00EB5449" w:rsidRDefault="00122952" w:rsidP="00EB5449">
      <w:pPr>
        <w:spacing w:after="0" w:line="360" w:lineRule="auto"/>
        <w:jc w:val="both"/>
        <w:rPr>
          <w:rFonts w:ascii="Times New Roman" w:hAnsi="Times New Roman" w:cs="Times New Roman"/>
          <w:color w:val="000000"/>
        </w:rPr>
      </w:pPr>
    </w:p>
    <w:p w:rsidR="00F70563" w:rsidRPr="00EB5449" w:rsidRDefault="00D22467" w:rsidP="00EB5449">
      <w:pPr>
        <w:spacing w:line="360" w:lineRule="auto"/>
        <w:jc w:val="both"/>
        <w:rPr>
          <w:rFonts w:ascii="Times New Roman" w:hAnsi="Times New Roman" w:cs="Times New Roman"/>
        </w:rPr>
      </w:pPr>
      <w:r w:rsidRPr="00EB5449">
        <w:rPr>
          <w:rFonts w:ascii="Times New Roman" w:hAnsi="Times New Roman" w:cs="Times New Roman"/>
        </w:rPr>
        <w:t>During the past years</w:t>
      </w:r>
      <w:r w:rsidR="00216CB5" w:rsidRPr="00EB5449">
        <w:rPr>
          <w:rFonts w:ascii="Times New Roman" w:hAnsi="Times New Roman" w:cs="Times New Roman"/>
        </w:rPr>
        <w:t>,</w:t>
      </w:r>
      <w:r w:rsidRPr="00EB5449">
        <w:rPr>
          <w:rFonts w:ascii="Times New Roman" w:hAnsi="Times New Roman" w:cs="Times New Roman"/>
        </w:rPr>
        <w:t xml:space="preserve"> p</w:t>
      </w:r>
      <w:r w:rsidR="002A03C8" w:rsidRPr="00EB5449">
        <w:rPr>
          <w:rFonts w:ascii="Times New Roman" w:hAnsi="Times New Roman" w:cs="Times New Roman"/>
        </w:rPr>
        <w:t>rivatization of</w:t>
      </w:r>
      <w:r w:rsidR="00216CB5" w:rsidRPr="00EB5449">
        <w:rPr>
          <w:rFonts w:ascii="Times New Roman" w:hAnsi="Times New Roman" w:cs="Times New Roman"/>
        </w:rPr>
        <w:t xml:space="preserve"> electricity discom</w:t>
      </w:r>
      <w:r w:rsidRPr="00EB5449">
        <w:rPr>
          <w:rFonts w:ascii="Times New Roman" w:hAnsi="Times New Roman" w:cs="Times New Roman"/>
        </w:rPr>
        <w:t xml:space="preserve"> </w:t>
      </w:r>
      <w:r w:rsidR="00DB32DB">
        <w:rPr>
          <w:rFonts w:ascii="Times New Roman" w:hAnsi="Times New Roman" w:cs="Times New Roman"/>
        </w:rPr>
        <w:t>has</w:t>
      </w:r>
      <w:r w:rsidR="002A03C8" w:rsidRPr="00EB5449">
        <w:rPr>
          <w:rFonts w:ascii="Times New Roman" w:hAnsi="Times New Roman" w:cs="Times New Roman"/>
        </w:rPr>
        <w:t xml:space="preserve"> delivered intended results, reduction in losses and improved operating efficiency.</w:t>
      </w:r>
      <w:r w:rsidR="00254F58" w:rsidRPr="00EB5449">
        <w:rPr>
          <w:rFonts w:ascii="Times New Roman" w:hAnsi="Times New Roman" w:cs="Times New Roman"/>
          <w:color w:val="3B3A39"/>
          <w:shd w:val="clear" w:color="auto" w:fill="FFFFFF"/>
        </w:rPr>
        <w:t xml:space="preserve"> </w:t>
      </w:r>
      <w:r w:rsidR="00254F58" w:rsidRPr="00EB5449">
        <w:rPr>
          <w:rFonts w:ascii="Times New Roman" w:hAnsi="Times New Roman" w:cs="Times New Roman"/>
        </w:rPr>
        <w:t xml:space="preserve">Deficit situation in </w:t>
      </w:r>
      <w:r w:rsidR="000A3071" w:rsidRPr="00EB5449">
        <w:rPr>
          <w:rFonts w:ascii="Times New Roman" w:hAnsi="Times New Roman" w:cs="Times New Roman"/>
        </w:rPr>
        <w:t>Delaware has</w:t>
      </w:r>
      <w:r w:rsidR="00254F58" w:rsidRPr="00EB5449">
        <w:rPr>
          <w:rFonts w:ascii="Times New Roman" w:hAnsi="Times New Roman" w:cs="Times New Roman"/>
        </w:rPr>
        <w:t xml:space="preserve"> improved in terms of both peak and energy deficit. Peak deficit has reduced from 9.2 per cen</w:t>
      </w:r>
      <w:r w:rsidR="004271B9" w:rsidRPr="00EB5449">
        <w:rPr>
          <w:rFonts w:ascii="Times New Roman" w:hAnsi="Times New Roman" w:cs="Times New Roman"/>
        </w:rPr>
        <w:t>t in 2002 to 0.1 percent in 2015</w:t>
      </w:r>
      <w:r w:rsidR="00254F58" w:rsidRPr="00EB5449">
        <w:rPr>
          <w:rFonts w:ascii="Times New Roman" w:hAnsi="Times New Roman" w:cs="Times New Roman"/>
        </w:rPr>
        <w:t>. Base deficit has also reduced from 1.9 per cent in 2002</w:t>
      </w:r>
      <w:r w:rsidR="004271B9" w:rsidRPr="00EB5449">
        <w:rPr>
          <w:rFonts w:ascii="Times New Roman" w:hAnsi="Times New Roman" w:cs="Times New Roman"/>
        </w:rPr>
        <w:t xml:space="preserve"> to 0.3 percent in 2015</w:t>
      </w:r>
      <w:r w:rsidR="00254F58" w:rsidRPr="00EB5449">
        <w:rPr>
          <w:rFonts w:ascii="Times New Roman" w:hAnsi="Times New Roman" w:cs="Times New Roman"/>
        </w:rPr>
        <w:t>.</w:t>
      </w:r>
      <w:r w:rsidR="002A03C8" w:rsidRPr="00EB5449">
        <w:rPr>
          <w:rFonts w:ascii="Times New Roman" w:hAnsi="Times New Roman" w:cs="Times New Roman"/>
        </w:rPr>
        <w:t xml:space="preserve"> </w:t>
      </w:r>
      <w:r w:rsidRPr="00EB5449">
        <w:rPr>
          <w:rFonts w:ascii="Times New Roman" w:hAnsi="Times New Roman" w:cs="Times New Roman"/>
        </w:rPr>
        <w:t>However</w:t>
      </w:r>
      <w:r w:rsidR="000A3071" w:rsidRPr="00EB5449">
        <w:rPr>
          <w:rFonts w:ascii="Times New Roman" w:hAnsi="Times New Roman" w:cs="Times New Roman"/>
        </w:rPr>
        <w:t>,</w:t>
      </w:r>
      <w:r w:rsidRPr="00EB5449">
        <w:rPr>
          <w:rFonts w:ascii="Times New Roman" w:hAnsi="Times New Roman" w:cs="Times New Roman"/>
        </w:rPr>
        <w:t xml:space="preserve"> government have tended</w:t>
      </w:r>
      <w:r w:rsidR="00216CB5" w:rsidRPr="00EB5449">
        <w:rPr>
          <w:rFonts w:ascii="Times New Roman" w:hAnsi="Times New Roman" w:cs="Times New Roman"/>
        </w:rPr>
        <w:t xml:space="preserve"> to disadvantage private discom</w:t>
      </w:r>
      <w:r w:rsidRPr="00EB5449">
        <w:rPr>
          <w:rFonts w:ascii="Times New Roman" w:hAnsi="Times New Roman" w:cs="Times New Roman"/>
        </w:rPr>
        <w:t xml:space="preserve"> by freezing tariffs for period resulting in accumulations of regulatory assets. </w:t>
      </w:r>
      <w:r w:rsidR="002A03C8" w:rsidRPr="00EB5449">
        <w:rPr>
          <w:rFonts w:ascii="Times New Roman" w:hAnsi="Times New Roman" w:cs="Times New Roman"/>
        </w:rPr>
        <w:t xml:space="preserve">Power purchase cost has increased threefold since the </w:t>
      </w:r>
      <w:r w:rsidR="00293E79">
        <w:rPr>
          <w:rFonts w:ascii="Times New Roman" w:hAnsi="Times New Roman" w:cs="Times New Roman"/>
        </w:rPr>
        <w:t xml:space="preserve">electricity </w:t>
      </w:r>
      <w:r w:rsidR="002A03C8" w:rsidRPr="00EB5449">
        <w:rPr>
          <w:rFonts w:ascii="Times New Roman" w:hAnsi="Times New Roman" w:cs="Times New Roman"/>
        </w:rPr>
        <w:t>distribution has</w:t>
      </w:r>
      <w:r w:rsidR="001A720E" w:rsidRPr="00EB5449">
        <w:rPr>
          <w:rFonts w:ascii="Times New Roman" w:hAnsi="Times New Roman" w:cs="Times New Roman"/>
        </w:rPr>
        <w:t xml:space="preserve"> been privatized</w:t>
      </w:r>
      <w:r w:rsidR="00F70563" w:rsidRPr="00EB5449">
        <w:rPr>
          <w:rFonts w:ascii="Times New Roman" w:hAnsi="Times New Roman" w:cs="Times New Roman"/>
        </w:rPr>
        <w:t>, whereas the tariffs has risen only 90% so far.</w:t>
      </w:r>
    </w:p>
    <w:p w:rsidR="00122952" w:rsidRPr="00EB5449" w:rsidRDefault="00F70563" w:rsidP="00EB5449">
      <w:pPr>
        <w:spacing w:line="360" w:lineRule="auto"/>
        <w:jc w:val="both"/>
        <w:rPr>
          <w:rFonts w:ascii="Times New Roman" w:hAnsi="Times New Roman" w:cs="Times New Roman"/>
        </w:rPr>
      </w:pPr>
      <w:r w:rsidRPr="00EB5449">
        <w:rPr>
          <w:rFonts w:ascii="Times New Roman" w:hAnsi="Times New Roman" w:cs="Times New Roman"/>
        </w:rPr>
        <w:lastRenderedPageBreak/>
        <w:t>One of the foremost reasons for higher cost of distribution of electricity has been the rate at which the electricity is</w:t>
      </w:r>
      <w:r w:rsidR="00CC7E40" w:rsidRPr="00EB5449">
        <w:rPr>
          <w:rFonts w:ascii="Times New Roman" w:hAnsi="Times New Roman" w:cs="Times New Roman"/>
        </w:rPr>
        <w:t xml:space="preserve"> being</w:t>
      </w:r>
      <w:r w:rsidR="00293E79">
        <w:rPr>
          <w:rFonts w:ascii="Times New Roman" w:hAnsi="Times New Roman" w:cs="Times New Roman"/>
        </w:rPr>
        <w:t xml:space="preserve"> purchased from the s</w:t>
      </w:r>
      <w:r w:rsidRPr="00EB5449">
        <w:rPr>
          <w:rFonts w:ascii="Times New Roman" w:hAnsi="Times New Roman" w:cs="Times New Roman"/>
        </w:rPr>
        <w:t xml:space="preserve">tate run </w:t>
      </w:r>
      <w:r w:rsidR="00D22467" w:rsidRPr="00EB5449">
        <w:rPr>
          <w:rFonts w:ascii="Times New Roman" w:hAnsi="Times New Roman" w:cs="Times New Roman"/>
        </w:rPr>
        <w:t>e</w:t>
      </w:r>
      <w:r w:rsidRPr="00EB5449">
        <w:rPr>
          <w:rFonts w:ascii="Times New Roman" w:hAnsi="Times New Roman" w:cs="Times New Roman"/>
        </w:rPr>
        <w:t>lectricity generatin</w:t>
      </w:r>
      <w:r w:rsidR="00EB5449">
        <w:rPr>
          <w:rFonts w:ascii="Times New Roman" w:hAnsi="Times New Roman" w:cs="Times New Roman"/>
        </w:rPr>
        <w:t>g company, Thermal Power Corporation (TP</w:t>
      </w:r>
      <w:r w:rsidR="004271B9" w:rsidRPr="00EB5449">
        <w:rPr>
          <w:rFonts w:ascii="Times New Roman" w:hAnsi="Times New Roman" w:cs="Times New Roman"/>
        </w:rPr>
        <w:t>C).</w:t>
      </w:r>
      <w:r w:rsidRPr="00EB5449">
        <w:rPr>
          <w:rFonts w:ascii="Times New Roman" w:hAnsi="Times New Roman" w:cs="Times New Roman"/>
        </w:rPr>
        <w:t xml:space="preserve">  Actually before privatization</w:t>
      </w:r>
      <w:r w:rsidR="000A3071" w:rsidRPr="00EB5449">
        <w:rPr>
          <w:rFonts w:ascii="Times New Roman" w:hAnsi="Times New Roman" w:cs="Times New Roman"/>
        </w:rPr>
        <w:t>,</w:t>
      </w:r>
      <w:r w:rsidRPr="00EB5449">
        <w:rPr>
          <w:rFonts w:ascii="Times New Roman" w:hAnsi="Times New Roman" w:cs="Times New Roman"/>
        </w:rPr>
        <w:t xml:space="preserve"> Delaware </w:t>
      </w:r>
      <w:r w:rsidR="000A3071" w:rsidRPr="00EB5449">
        <w:rPr>
          <w:rFonts w:ascii="Times New Roman" w:hAnsi="Times New Roman" w:cs="Times New Roman"/>
        </w:rPr>
        <w:t>Electricity Board</w:t>
      </w:r>
      <w:r w:rsidRPr="00EB5449">
        <w:rPr>
          <w:rFonts w:ascii="Times New Roman" w:hAnsi="Times New Roman" w:cs="Times New Roman"/>
        </w:rPr>
        <w:t xml:space="preserve"> had entered into 30 year long power purchase agreement with</w:t>
      </w:r>
      <w:r w:rsidR="00EB5449">
        <w:rPr>
          <w:rFonts w:ascii="Times New Roman" w:hAnsi="Times New Roman" w:cs="Times New Roman"/>
        </w:rPr>
        <w:t xml:space="preserve"> Thermal Power </w:t>
      </w:r>
      <w:r w:rsidR="002D0E34" w:rsidRPr="00EB5449">
        <w:rPr>
          <w:rFonts w:ascii="Times New Roman" w:hAnsi="Times New Roman" w:cs="Times New Roman"/>
        </w:rPr>
        <w:t>C</w:t>
      </w:r>
      <w:r w:rsidR="00EB5449">
        <w:rPr>
          <w:rFonts w:ascii="Times New Roman" w:hAnsi="Times New Roman" w:cs="Times New Roman"/>
        </w:rPr>
        <w:t>orporation</w:t>
      </w:r>
      <w:r w:rsidRPr="00EB5449">
        <w:rPr>
          <w:rFonts w:ascii="Times New Roman" w:hAnsi="Times New Roman" w:cs="Times New Roman"/>
        </w:rPr>
        <w:t xml:space="preserve">, </w:t>
      </w:r>
      <w:r w:rsidR="00D22467" w:rsidRPr="00EB5449">
        <w:rPr>
          <w:rFonts w:ascii="Times New Roman" w:hAnsi="Times New Roman" w:cs="Times New Roman"/>
          <w:color w:val="000000"/>
        </w:rPr>
        <w:t xml:space="preserve">however, the private power distribution companies were made to comply with various pacts </w:t>
      </w:r>
      <w:r w:rsidR="009B50B0">
        <w:rPr>
          <w:rFonts w:ascii="Times New Roman" w:hAnsi="Times New Roman" w:cs="Times New Roman"/>
          <w:color w:val="000000"/>
        </w:rPr>
        <w:t xml:space="preserve">that </w:t>
      </w:r>
      <w:r w:rsidR="001A720E" w:rsidRPr="00EB5449">
        <w:rPr>
          <w:rFonts w:ascii="Times New Roman" w:hAnsi="Times New Roman" w:cs="Times New Roman"/>
        </w:rPr>
        <w:t>D</w:t>
      </w:r>
      <w:r w:rsidR="00EB5449">
        <w:rPr>
          <w:rFonts w:ascii="Times New Roman" w:hAnsi="Times New Roman" w:cs="Times New Roman"/>
        </w:rPr>
        <w:t xml:space="preserve">elaware </w:t>
      </w:r>
      <w:r w:rsidR="001A720E" w:rsidRPr="00EB5449">
        <w:rPr>
          <w:rFonts w:ascii="Times New Roman" w:hAnsi="Times New Roman" w:cs="Times New Roman"/>
        </w:rPr>
        <w:t>E</w:t>
      </w:r>
      <w:r w:rsidR="00EB5449">
        <w:rPr>
          <w:rFonts w:ascii="Times New Roman" w:hAnsi="Times New Roman" w:cs="Times New Roman"/>
        </w:rPr>
        <w:t xml:space="preserve">lectricity </w:t>
      </w:r>
      <w:r w:rsidR="001A720E" w:rsidRPr="00EB5449">
        <w:rPr>
          <w:rFonts w:ascii="Times New Roman" w:hAnsi="Times New Roman" w:cs="Times New Roman"/>
        </w:rPr>
        <w:t>B</w:t>
      </w:r>
      <w:r w:rsidR="00EB5449">
        <w:rPr>
          <w:rFonts w:ascii="Times New Roman" w:hAnsi="Times New Roman" w:cs="Times New Roman"/>
        </w:rPr>
        <w:t>oard</w:t>
      </w:r>
      <w:r w:rsidR="009B50B0">
        <w:rPr>
          <w:rFonts w:ascii="Times New Roman" w:hAnsi="Times New Roman" w:cs="Times New Roman"/>
        </w:rPr>
        <w:t xml:space="preserve"> had</w:t>
      </w:r>
      <w:r w:rsidR="00D22467" w:rsidRPr="00EB5449">
        <w:rPr>
          <w:rFonts w:ascii="Times New Roman" w:hAnsi="Times New Roman" w:cs="Times New Roman"/>
          <w:color w:val="000000"/>
        </w:rPr>
        <w:t xml:space="preserve"> signed with central government entities. </w:t>
      </w:r>
      <w:r w:rsidR="00500F34" w:rsidRPr="00EB5449">
        <w:rPr>
          <w:rFonts w:ascii="Times New Roman" w:hAnsi="Times New Roman" w:cs="Times New Roman"/>
        </w:rPr>
        <w:t>Presently,</w:t>
      </w:r>
      <w:r w:rsidR="00D22467" w:rsidRPr="00EB5449">
        <w:rPr>
          <w:rFonts w:ascii="Times New Roman" w:hAnsi="Times New Roman" w:cs="Times New Roman"/>
        </w:rPr>
        <w:t xml:space="preserve"> Delaware </w:t>
      </w:r>
      <w:r w:rsidR="00216CB5" w:rsidRPr="00EB5449">
        <w:rPr>
          <w:rFonts w:ascii="Times New Roman" w:hAnsi="Times New Roman" w:cs="Times New Roman"/>
        </w:rPr>
        <w:t>discom</w:t>
      </w:r>
      <w:r w:rsidR="009B50B0">
        <w:rPr>
          <w:rFonts w:ascii="Times New Roman" w:hAnsi="Times New Roman" w:cs="Times New Roman"/>
        </w:rPr>
        <w:t>’s</w:t>
      </w:r>
      <w:r w:rsidR="00D22467" w:rsidRPr="00EB5449">
        <w:rPr>
          <w:rFonts w:ascii="Times New Roman" w:hAnsi="Times New Roman" w:cs="Times New Roman"/>
        </w:rPr>
        <w:t xml:space="preserve"> </w:t>
      </w:r>
      <w:r w:rsidR="00601CF3" w:rsidRPr="00EB5449">
        <w:rPr>
          <w:rFonts w:ascii="Times New Roman" w:hAnsi="Times New Roman" w:cs="Times New Roman"/>
        </w:rPr>
        <w:t>ha</w:t>
      </w:r>
      <w:r w:rsidR="00601CF3">
        <w:rPr>
          <w:rFonts w:ascii="Times New Roman" w:hAnsi="Times New Roman" w:cs="Times New Roman"/>
        </w:rPr>
        <w:t>s</w:t>
      </w:r>
      <w:r w:rsidR="00D22467" w:rsidRPr="00EB5449">
        <w:rPr>
          <w:rFonts w:ascii="Times New Roman" w:hAnsi="Times New Roman" w:cs="Times New Roman"/>
        </w:rPr>
        <w:t xml:space="preserve"> to incur 60% more cost on buying power compared with other states because of the long-term power purchase</w:t>
      </w:r>
      <w:r w:rsidR="000A3071" w:rsidRPr="00EB5449">
        <w:rPr>
          <w:rFonts w:ascii="Times New Roman" w:hAnsi="Times New Roman" w:cs="Times New Roman"/>
        </w:rPr>
        <w:t xml:space="preserve"> agreements</w:t>
      </w:r>
      <w:r w:rsidR="00D22467" w:rsidRPr="00EB5449">
        <w:rPr>
          <w:rFonts w:ascii="Times New Roman" w:hAnsi="Times New Roman" w:cs="Times New Roman"/>
        </w:rPr>
        <w:t xml:space="preserve">. </w:t>
      </w:r>
    </w:p>
    <w:p w:rsidR="002D0E34" w:rsidRPr="00EB5449" w:rsidRDefault="00B73AB8" w:rsidP="00EB5449">
      <w:pPr>
        <w:spacing w:line="360" w:lineRule="auto"/>
        <w:jc w:val="both"/>
        <w:rPr>
          <w:rFonts w:ascii="Times New Roman" w:hAnsi="Times New Roman" w:cs="Times New Roman"/>
        </w:rPr>
      </w:pPr>
      <w:r w:rsidRPr="00EB5449">
        <w:rPr>
          <w:rFonts w:ascii="Times New Roman" w:hAnsi="Times New Roman" w:cs="Times New Roman"/>
        </w:rPr>
        <w:t>Due to the high power</w:t>
      </w:r>
      <w:r w:rsidR="00CC769C" w:rsidRPr="00EB5449">
        <w:rPr>
          <w:rFonts w:ascii="Times New Roman" w:hAnsi="Times New Roman" w:cs="Times New Roman"/>
        </w:rPr>
        <w:t xml:space="preserve"> purchas</w:t>
      </w:r>
      <w:r w:rsidR="000A3071" w:rsidRPr="00EB5449">
        <w:rPr>
          <w:rFonts w:ascii="Times New Roman" w:hAnsi="Times New Roman" w:cs="Times New Roman"/>
        </w:rPr>
        <w:t>ing cost</w:t>
      </w:r>
      <w:r w:rsidR="00CC769C" w:rsidRPr="00EB5449">
        <w:rPr>
          <w:rFonts w:ascii="Times New Roman" w:hAnsi="Times New Roman" w:cs="Times New Roman"/>
        </w:rPr>
        <w:t>, power theft</w:t>
      </w:r>
      <w:r w:rsidR="000A3071" w:rsidRPr="00EB5449">
        <w:rPr>
          <w:rFonts w:ascii="Times New Roman" w:hAnsi="Times New Roman" w:cs="Times New Roman"/>
        </w:rPr>
        <w:t>s</w:t>
      </w:r>
      <w:r w:rsidR="00CC769C" w:rsidRPr="00EB5449">
        <w:rPr>
          <w:rFonts w:ascii="Times New Roman" w:hAnsi="Times New Roman" w:cs="Times New Roman"/>
        </w:rPr>
        <w:t xml:space="preserve"> and bill collection inefficiencies</w:t>
      </w:r>
      <w:r w:rsidRPr="00EB5449">
        <w:rPr>
          <w:rFonts w:ascii="Times New Roman" w:hAnsi="Times New Roman" w:cs="Times New Roman"/>
        </w:rPr>
        <w:t xml:space="preserve"> in past years</w:t>
      </w:r>
      <w:r w:rsidR="00CC769C" w:rsidRPr="00EB5449">
        <w:rPr>
          <w:rFonts w:ascii="Times New Roman" w:hAnsi="Times New Roman" w:cs="Times New Roman"/>
        </w:rPr>
        <w:t xml:space="preserve"> have risen aggregate technical and commercial –AT&amp;C—losses</w:t>
      </w:r>
      <w:r w:rsidR="000A3071" w:rsidRPr="00EB5449">
        <w:rPr>
          <w:rFonts w:ascii="Times New Roman" w:hAnsi="Times New Roman" w:cs="Times New Roman"/>
        </w:rPr>
        <w:t xml:space="preserve"> to</w:t>
      </w:r>
      <w:r w:rsidR="00216CB5" w:rsidRPr="00EB5449">
        <w:rPr>
          <w:rFonts w:ascii="Times New Roman" w:hAnsi="Times New Roman" w:cs="Times New Roman"/>
        </w:rPr>
        <w:t xml:space="preserve"> the private discom</w:t>
      </w:r>
      <w:r w:rsidR="00CC769C" w:rsidRPr="00EB5449">
        <w:rPr>
          <w:rFonts w:ascii="Times New Roman" w:hAnsi="Times New Roman" w:cs="Times New Roman"/>
        </w:rPr>
        <w:t xml:space="preserve">. Now the </w:t>
      </w:r>
      <w:r w:rsidR="00216CB5" w:rsidRPr="00EB5449">
        <w:rPr>
          <w:rFonts w:ascii="Times New Roman" w:hAnsi="Times New Roman" w:cs="Times New Roman"/>
        </w:rPr>
        <w:t>private discom</w:t>
      </w:r>
      <w:r w:rsidR="00E61385" w:rsidRPr="00EB5449">
        <w:rPr>
          <w:rFonts w:ascii="Times New Roman" w:hAnsi="Times New Roman" w:cs="Times New Roman"/>
        </w:rPr>
        <w:t xml:space="preserve"> in </w:t>
      </w:r>
      <w:r w:rsidR="00662B13" w:rsidRPr="00EB5449">
        <w:rPr>
          <w:rFonts w:ascii="Times New Roman" w:hAnsi="Times New Roman" w:cs="Times New Roman"/>
        </w:rPr>
        <w:t>Delaware</w:t>
      </w:r>
      <w:r w:rsidR="002D0E34" w:rsidRPr="00EB5449">
        <w:rPr>
          <w:rFonts w:ascii="Times New Roman" w:hAnsi="Times New Roman" w:cs="Times New Roman"/>
        </w:rPr>
        <w:t xml:space="preserve">, North Atlantic Edison Inc., </w:t>
      </w:r>
      <w:r w:rsidRPr="00EB5449">
        <w:rPr>
          <w:rFonts w:ascii="Times New Roman" w:hAnsi="Times New Roman" w:cs="Times New Roman"/>
        </w:rPr>
        <w:t xml:space="preserve">have </w:t>
      </w:r>
      <w:r w:rsidR="00662B13" w:rsidRPr="00EB5449">
        <w:rPr>
          <w:rFonts w:ascii="Times New Roman" w:hAnsi="Times New Roman" w:cs="Times New Roman"/>
        </w:rPr>
        <w:t>regulatory asset</w:t>
      </w:r>
      <w:r w:rsidRPr="00EB5449">
        <w:rPr>
          <w:rFonts w:ascii="Times New Roman" w:hAnsi="Times New Roman" w:cs="Times New Roman"/>
        </w:rPr>
        <w:t xml:space="preserve"> of nearly 15000cr, as per an estimate the electricity </w:t>
      </w:r>
      <w:r w:rsidR="002D0E34" w:rsidRPr="00EB5449">
        <w:rPr>
          <w:rFonts w:ascii="Times New Roman" w:hAnsi="Times New Roman" w:cs="Times New Roman"/>
        </w:rPr>
        <w:t>prices</w:t>
      </w:r>
      <w:r w:rsidRPr="00EB5449">
        <w:rPr>
          <w:rFonts w:ascii="Times New Roman" w:hAnsi="Times New Roman" w:cs="Times New Roman"/>
        </w:rPr>
        <w:t xml:space="preserve"> in </w:t>
      </w:r>
      <w:r w:rsidR="00806AA7" w:rsidRPr="00EB5449">
        <w:rPr>
          <w:rFonts w:ascii="Times New Roman" w:hAnsi="Times New Roman" w:cs="Times New Roman"/>
        </w:rPr>
        <w:t>Delaware</w:t>
      </w:r>
      <w:r w:rsidRPr="00EB5449">
        <w:rPr>
          <w:rFonts w:ascii="Times New Roman" w:hAnsi="Times New Roman" w:cs="Times New Roman"/>
        </w:rPr>
        <w:t xml:space="preserve"> would need to hike tariff by 10 % every year </w:t>
      </w:r>
      <w:r w:rsidR="000A3071" w:rsidRPr="00EB5449">
        <w:rPr>
          <w:rFonts w:ascii="Times New Roman" w:hAnsi="Times New Roman" w:cs="Times New Roman"/>
        </w:rPr>
        <w:t>for 5 years for</w:t>
      </w:r>
      <w:r w:rsidRPr="00EB5449">
        <w:rPr>
          <w:rFonts w:ascii="Times New Roman" w:hAnsi="Times New Roman" w:cs="Times New Roman"/>
        </w:rPr>
        <w:t xml:space="preserve"> liquidation of regulatory assets. </w:t>
      </w:r>
    </w:p>
    <w:p w:rsidR="00122952" w:rsidRPr="00EB5449" w:rsidRDefault="002D0E34" w:rsidP="00EB5449">
      <w:pPr>
        <w:spacing w:line="360" w:lineRule="auto"/>
        <w:jc w:val="both"/>
        <w:rPr>
          <w:rFonts w:ascii="Times New Roman" w:hAnsi="Times New Roman" w:cs="Times New Roman"/>
        </w:rPr>
      </w:pPr>
      <w:r w:rsidRPr="00EB5449">
        <w:rPr>
          <w:rFonts w:ascii="Times New Roman" w:hAnsi="Times New Roman" w:cs="Times New Roman"/>
        </w:rPr>
        <w:t>Private power distributor has</w:t>
      </w:r>
      <w:r w:rsidR="00CA1BDD" w:rsidRPr="00EB5449">
        <w:rPr>
          <w:rFonts w:ascii="Times New Roman" w:hAnsi="Times New Roman" w:cs="Times New Roman"/>
        </w:rPr>
        <w:t xml:space="preserve"> fared way better than state-owned ones in operationa</w:t>
      </w:r>
      <w:r w:rsidRPr="00EB5449">
        <w:rPr>
          <w:rFonts w:ascii="Times New Roman" w:hAnsi="Times New Roman" w:cs="Times New Roman"/>
        </w:rPr>
        <w:t>l efficiency.  The power discom has</w:t>
      </w:r>
      <w:r w:rsidR="00CA1BDD" w:rsidRPr="00EB5449">
        <w:rPr>
          <w:rFonts w:ascii="Times New Roman" w:hAnsi="Times New Roman" w:cs="Times New Roman"/>
        </w:rPr>
        <w:t xml:space="preserve"> lowered its AT&amp;C losses to less than 9% of the total units of electricity supplied from about 53% at the start of operations</w:t>
      </w:r>
      <w:r w:rsidR="00122952" w:rsidRPr="00EB5449">
        <w:rPr>
          <w:rFonts w:ascii="Times New Roman" w:hAnsi="Times New Roman" w:cs="Times New Roman"/>
        </w:rPr>
        <w:t xml:space="preserve"> but it’s not enough for </w:t>
      </w:r>
      <w:r w:rsidRPr="00EB5449">
        <w:rPr>
          <w:rFonts w:ascii="Times New Roman" w:hAnsi="Times New Roman" w:cs="Times New Roman"/>
        </w:rPr>
        <w:t>the discom company</w:t>
      </w:r>
      <w:r w:rsidR="00122952" w:rsidRPr="00EB5449">
        <w:rPr>
          <w:rFonts w:ascii="Times New Roman" w:hAnsi="Times New Roman" w:cs="Times New Roman"/>
        </w:rPr>
        <w:t xml:space="preserve"> to safeguard themselves from high rising electricity purchasing cost. </w:t>
      </w:r>
    </w:p>
    <w:p w:rsidR="002D0E34" w:rsidRDefault="007E2907" w:rsidP="002D0E34">
      <w:pPr>
        <w:keepNext/>
        <w:spacing w:after="0" w:line="360" w:lineRule="auto"/>
        <w:ind w:left="720" w:firstLine="720"/>
        <w:jc w:val="both"/>
      </w:pPr>
      <w:r w:rsidRPr="007E2907">
        <w:rPr>
          <w:rFonts w:ascii="Times New Roman" w:hAnsi="Times New Roman" w:cs="Times New Roman"/>
          <w:noProof/>
          <w:sz w:val="24"/>
          <w:szCs w:val="24"/>
          <w:lang w:val="en-US"/>
        </w:rPr>
        <w:drawing>
          <wp:inline distT="0" distB="0" distL="0" distR="0">
            <wp:extent cx="4496049" cy="1319916"/>
            <wp:effectExtent l="19050" t="0" r="18801"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2907" w:rsidRDefault="002D0E34" w:rsidP="002D0E34">
      <w:pPr>
        <w:pStyle w:val="Caption"/>
        <w:spacing w:after="0"/>
        <w:ind w:left="1440" w:firstLine="720"/>
        <w:jc w:val="both"/>
        <w:rPr>
          <w:rFonts w:ascii="Times New Roman" w:hAnsi="Times New Roman" w:cs="Times New Roman"/>
          <w:sz w:val="24"/>
          <w:szCs w:val="24"/>
        </w:rPr>
      </w:pPr>
      <w:r>
        <w:t xml:space="preserve">         Figure </w:t>
      </w:r>
      <w:fldSimple w:instr=" SEQ Figure \* ARABIC ">
        <w:r w:rsidR="00672EFE">
          <w:rPr>
            <w:noProof/>
          </w:rPr>
          <w:t>1</w:t>
        </w:r>
      </w:fldSimple>
      <w:r>
        <w:t xml:space="preserve"> </w:t>
      </w:r>
      <w:r w:rsidRPr="00DE0796">
        <w:t>North Atlantic Edison Inc.</w:t>
      </w:r>
      <w:r>
        <w:t xml:space="preserve"> AT&amp;C cost since privatization</w:t>
      </w:r>
    </w:p>
    <w:p w:rsidR="001A720E" w:rsidRPr="001A720E" w:rsidRDefault="001A720E" w:rsidP="001A720E">
      <w:pPr>
        <w:spacing w:after="0" w:line="360" w:lineRule="auto"/>
        <w:ind w:left="2160"/>
        <w:jc w:val="both"/>
        <w:rPr>
          <w:rFonts w:ascii="Times New Roman" w:hAnsi="Times New Roman" w:cs="Times New Roman"/>
          <w:b/>
          <w:sz w:val="18"/>
          <w:szCs w:val="18"/>
        </w:rPr>
      </w:pPr>
      <w:r>
        <w:rPr>
          <w:rFonts w:ascii="Times New Roman" w:hAnsi="Times New Roman" w:cs="Times New Roman"/>
          <w:b/>
          <w:sz w:val="18"/>
          <w:szCs w:val="18"/>
        </w:rPr>
        <w:t xml:space="preserve">    </w:t>
      </w:r>
    </w:p>
    <w:p w:rsidR="001A720E" w:rsidRPr="001A720E" w:rsidRDefault="001A720E" w:rsidP="001A720E">
      <w:pPr>
        <w:spacing w:after="0" w:line="360" w:lineRule="auto"/>
        <w:ind w:left="2160" w:firstLine="720"/>
        <w:jc w:val="both"/>
        <w:rPr>
          <w:rFonts w:ascii="Times New Roman" w:hAnsi="Times New Roman" w:cs="Times New Roman"/>
          <w:sz w:val="18"/>
          <w:szCs w:val="18"/>
        </w:rPr>
      </w:pPr>
    </w:p>
    <w:p w:rsidR="00122952" w:rsidRPr="00EB5449" w:rsidRDefault="00EB5449" w:rsidP="00EB5449">
      <w:pPr>
        <w:spacing w:line="360" w:lineRule="auto"/>
        <w:jc w:val="both"/>
        <w:rPr>
          <w:rFonts w:ascii="Times New Roman" w:hAnsi="Times New Roman" w:cs="Times New Roman"/>
        </w:rPr>
      </w:pPr>
      <w:r>
        <w:rPr>
          <w:rFonts w:ascii="Times New Roman" w:hAnsi="Times New Roman" w:cs="Times New Roman"/>
        </w:rPr>
        <w:t>The p</w:t>
      </w:r>
      <w:r w:rsidR="00FA6637" w:rsidRPr="00EB5449">
        <w:rPr>
          <w:rFonts w:ascii="Times New Roman" w:hAnsi="Times New Roman" w:cs="Times New Roman"/>
        </w:rPr>
        <w:t>rivate electricity company, North Atlantic Edison Inc.,</w:t>
      </w:r>
      <w:r w:rsidR="00E61385" w:rsidRPr="00EB5449">
        <w:rPr>
          <w:rFonts w:ascii="Times New Roman" w:hAnsi="Times New Roman" w:cs="Times New Roman"/>
        </w:rPr>
        <w:t xml:space="preserve"> now want not just government intervention in a debt rejig, but concerted efforts to reduce their power purchase cost, including replacement of costly long-term power purchase agreements that were signed by their predecessor </w:t>
      </w:r>
      <w:r w:rsidR="00CC769C" w:rsidRPr="00EB5449">
        <w:rPr>
          <w:rFonts w:ascii="Times New Roman" w:hAnsi="Times New Roman" w:cs="Times New Roman"/>
        </w:rPr>
        <w:t xml:space="preserve">Delaware Electricity Board </w:t>
      </w:r>
      <w:r w:rsidR="00662B13" w:rsidRPr="00EB5449">
        <w:rPr>
          <w:rFonts w:ascii="Times New Roman" w:hAnsi="Times New Roman" w:cs="Times New Roman"/>
        </w:rPr>
        <w:t>before its privatization in 2003</w:t>
      </w:r>
      <w:r w:rsidR="00E61385" w:rsidRPr="00EB5449">
        <w:rPr>
          <w:rFonts w:ascii="Times New Roman" w:hAnsi="Times New Roman" w:cs="Times New Roman"/>
        </w:rPr>
        <w:t xml:space="preserve"> with new ones from efficient and cost-effective power plants.</w:t>
      </w:r>
      <w:r w:rsidR="00CA1BDD" w:rsidRPr="00EB5449">
        <w:rPr>
          <w:rFonts w:ascii="Times New Roman" w:hAnsi="Times New Roman" w:cs="Times New Roman"/>
        </w:rPr>
        <w:t xml:space="preserve"> At present, every unit of pow</w:t>
      </w:r>
      <w:r w:rsidR="00C81704" w:rsidRPr="00EB5449">
        <w:rPr>
          <w:rFonts w:ascii="Times New Roman" w:hAnsi="Times New Roman" w:cs="Times New Roman"/>
        </w:rPr>
        <w:t>er supplied add to distributor’s</w:t>
      </w:r>
      <w:r w:rsidR="00CA1BDD" w:rsidRPr="00EB5449">
        <w:rPr>
          <w:rFonts w:ascii="Times New Roman" w:hAnsi="Times New Roman" w:cs="Times New Roman"/>
        </w:rPr>
        <w:t xml:space="preserve"> debt burden because the regulated power tariff charged to the consumer does not reflect the actual cost of power purchase.</w:t>
      </w:r>
    </w:p>
    <w:p w:rsidR="00FA6BD0" w:rsidRPr="00EB5449" w:rsidRDefault="00CA1BDD" w:rsidP="00EB5449">
      <w:pPr>
        <w:spacing w:line="360" w:lineRule="auto"/>
        <w:jc w:val="both"/>
        <w:rPr>
          <w:rFonts w:ascii="Times New Roman" w:hAnsi="Times New Roman" w:cs="Times New Roman"/>
        </w:rPr>
      </w:pPr>
      <w:r w:rsidRPr="00EB5449">
        <w:rPr>
          <w:rFonts w:ascii="Times New Roman" w:hAnsi="Times New Roman" w:cs="Times New Roman"/>
        </w:rPr>
        <w:t xml:space="preserve"> </w:t>
      </w:r>
      <w:r w:rsidR="007E2907" w:rsidRPr="00EB5449">
        <w:rPr>
          <w:rFonts w:ascii="Times New Roman" w:hAnsi="Times New Roman" w:cs="Times New Roman"/>
        </w:rPr>
        <w:t>Delaware</w:t>
      </w:r>
      <w:r w:rsidRPr="00EB5449">
        <w:rPr>
          <w:rFonts w:ascii="Times New Roman" w:hAnsi="Times New Roman" w:cs="Times New Roman"/>
        </w:rPr>
        <w:t xml:space="preserve"> </w:t>
      </w:r>
      <w:r w:rsidR="007E2907" w:rsidRPr="00EB5449">
        <w:rPr>
          <w:rFonts w:ascii="Times New Roman" w:hAnsi="Times New Roman" w:cs="Times New Roman"/>
        </w:rPr>
        <w:t>government</w:t>
      </w:r>
      <w:r w:rsidRPr="00EB5449">
        <w:rPr>
          <w:rFonts w:ascii="Times New Roman" w:hAnsi="Times New Roman" w:cs="Times New Roman"/>
        </w:rPr>
        <w:t xml:space="preserve"> have to strike a delicate balance between avoiding tariff shocks to consumers and preventing un allowed costs (called regulatory assets) building up on</w:t>
      </w:r>
      <w:r w:rsidR="005252EB">
        <w:rPr>
          <w:rFonts w:ascii="Times New Roman" w:hAnsi="Times New Roman" w:cs="Times New Roman"/>
        </w:rPr>
        <w:t xml:space="preserve"> the books of power distributor i.e North Atlantic Edison Inc.</w:t>
      </w:r>
      <w:r w:rsidRPr="00EB5449">
        <w:rPr>
          <w:rFonts w:ascii="Times New Roman" w:hAnsi="Times New Roman" w:cs="Times New Roman"/>
        </w:rPr>
        <w:t>, which reduce</w:t>
      </w:r>
      <w:r w:rsidR="005252EB">
        <w:rPr>
          <w:rFonts w:ascii="Times New Roman" w:hAnsi="Times New Roman" w:cs="Times New Roman"/>
        </w:rPr>
        <w:t>s</w:t>
      </w:r>
      <w:r w:rsidRPr="00EB5449">
        <w:rPr>
          <w:rFonts w:ascii="Times New Roman" w:hAnsi="Times New Roman" w:cs="Times New Roman"/>
        </w:rPr>
        <w:t xml:space="preserve"> their ability to give quality service. </w:t>
      </w:r>
      <w:r w:rsidR="00806AA7" w:rsidRPr="00EB5449">
        <w:rPr>
          <w:rFonts w:ascii="Times New Roman" w:hAnsi="Times New Roman" w:cs="Times New Roman"/>
        </w:rPr>
        <w:t> </w:t>
      </w:r>
      <w:r w:rsidR="002570EB" w:rsidRPr="00EB5449">
        <w:rPr>
          <w:rFonts w:ascii="Times New Roman" w:hAnsi="Times New Roman" w:cs="Times New Roman"/>
        </w:rPr>
        <w:t>More than 80 %</w:t>
      </w:r>
      <w:r w:rsidR="00806AA7" w:rsidRPr="00EB5449">
        <w:rPr>
          <w:rFonts w:ascii="Times New Roman" w:hAnsi="Times New Roman" w:cs="Times New Roman"/>
        </w:rPr>
        <w:t xml:space="preserve"> per cent of total revenue of discom goes into purchasing power from central and state government owned entities through </w:t>
      </w:r>
      <w:r w:rsidR="00806AA7" w:rsidRPr="00EB5449">
        <w:rPr>
          <w:rFonts w:ascii="Times New Roman" w:hAnsi="Times New Roman" w:cs="Times New Roman"/>
        </w:rPr>
        <w:lastRenderedPageBreak/>
        <w:t>long term power purchase agreement</w:t>
      </w:r>
      <w:r w:rsidR="005252EB">
        <w:rPr>
          <w:rFonts w:ascii="Times New Roman" w:hAnsi="Times New Roman" w:cs="Times New Roman"/>
        </w:rPr>
        <w:t>s</w:t>
      </w:r>
      <w:r w:rsidR="00806AA7" w:rsidRPr="00EB5449">
        <w:rPr>
          <w:rFonts w:ascii="Times New Roman" w:hAnsi="Times New Roman" w:cs="Times New Roman"/>
        </w:rPr>
        <w:t xml:space="preserve">, at rates determined by the central and state regulators. </w:t>
      </w:r>
      <w:r w:rsidR="005252EB">
        <w:rPr>
          <w:rFonts w:ascii="Times New Roman" w:hAnsi="Times New Roman" w:cs="Times New Roman"/>
        </w:rPr>
        <w:t xml:space="preserve">Cash flow problem is affecting distribution Company’s </w:t>
      </w:r>
      <w:r w:rsidRPr="00EB5449">
        <w:rPr>
          <w:rFonts w:ascii="Times New Roman" w:hAnsi="Times New Roman" w:cs="Times New Roman"/>
        </w:rPr>
        <w:t xml:space="preserve">ability to buy power and to invest in </w:t>
      </w:r>
      <w:r w:rsidR="005252EB">
        <w:rPr>
          <w:rFonts w:ascii="Times New Roman" w:hAnsi="Times New Roman" w:cs="Times New Roman"/>
        </w:rPr>
        <w:t>infrastructure maintenance leading</w:t>
      </w:r>
      <w:r w:rsidRPr="00EB5449">
        <w:rPr>
          <w:rFonts w:ascii="Times New Roman" w:hAnsi="Times New Roman" w:cs="Times New Roman"/>
        </w:rPr>
        <w:t xml:space="preserve"> to supply disruptions. </w:t>
      </w:r>
    </w:p>
    <w:p w:rsidR="00C81704" w:rsidRPr="004D7293" w:rsidRDefault="00CC7E40" w:rsidP="00500F34">
      <w:pPr>
        <w:spacing w:line="360" w:lineRule="auto"/>
        <w:jc w:val="both"/>
        <w:rPr>
          <w:rFonts w:ascii="Times New Roman" w:hAnsi="Times New Roman" w:cs="Times New Roman"/>
          <w:color w:val="3E3E3E"/>
        </w:rPr>
      </w:pPr>
      <w:r w:rsidRPr="00EB5449">
        <w:rPr>
          <w:rFonts w:ascii="Times New Roman" w:hAnsi="Times New Roman" w:cs="Times New Roman"/>
        </w:rPr>
        <w:t>Long term Power purchase agreements</w:t>
      </w:r>
      <w:r w:rsidR="00810B9A" w:rsidRPr="00EB5449">
        <w:rPr>
          <w:rFonts w:ascii="Times New Roman" w:hAnsi="Times New Roman" w:cs="Times New Roman"/>
        </w:rPr>
        <w:t xml:space="preserve"> need</w:t>
      </w:r>
      <w:r w:rsidR="009B50B0">
        <w:rPr>
          <w:rFonts w:ascii="Times New Roman" w:hAnsi="Times New Roman" w:cs="Times New Roman"/>
        </w:rPr>
        <w:t>s</w:t>
      </w:r>
      <w:r w:rsidR="00810B9A" w:rsidRPr="00EB5449">
        <w:rPr>
          <w:rFonts w:ascii="Times New Roman" w:hAnsi="Times New Roman" w:cs="Times New Roman"/>
        </w:rPr>
        <w:t xml:space="preserve"> to be scrapped to bring down the power rates. P</w:t>
      </w:r>
      <w:r w:rsidR="001A720E" w:rsidRPr="00EB5449">
        <w:rPr>
          <w:rFonts w:ascii="Times New Roman" w:hAnsi="Times New Roman" w:cs="Times New Roman"/>
        </w:rPr>
        <w:t xml:space="preserve">resently, </w:t>
      </w:r>
      <w:r w:rsidR="00476F0E" w:rsidRPr="00EB5449">
        <w:rPr>
          <w:rFonts w:ascii="Times New Roman" w:hAnsi="Times New Roman" w:cs="Times New Roman"/>
        </w:rPr>
        <w:t>power</w:t>
      </w:r>
      <w:r w:rsidR="00810B9A" w:rsidRPr="00EB5449">
        <w:rPr>
          <w:rFonts w:ascii="Times New Roman" w:hAnsi="Times New Roman" w:cs="Times New Roman"/>
        </w:rPr>
        <w:t xml:space="preserve"> is bought at Rs. </w:t>
      </w:r>
      <w:r w:rsidR="00AA59B0" w:rsidRPr="00EB5449">
        <w:rPr>
          <w:rFonts w:ascii="Times New Roman" w:hAnsi="Times New Roman" w:cs="Times New Roman"/>
        </w:rPr>
        <w:t>4</w:t>
      </w:r>
      <w:r w:rsidR="00662B13" w:rsidRPr="00EB5449">
        <w:rPr>
          <w:rFonts w:ascii="Times New Roman" w:hAnsi="Times New Roman" w:cs="Times New Roman"/>
        </w:rPr>
        <w:t xml:space="preserve"> </w:t>
      </w:r>
      <w:r w:rsidR="00AA59B0" w:rsidRPr="00EB5449">
        <w:rPr>
          <w:rFonts w:ascii="Times New Roman" w:hAnsi="Times New Roman" w:cs="Times New Roman"/>
        </w:rPr>
        <w:t>–</w:t>
      </w:r>
      <w:r w:rsidR="00662B13" w:rsidRPr="00EB5449">
        <w:rPr>
          <w:rFonts w:ascii="Times New Roman" w:hAnsi="Times New Roman" w:cs="Times New Roman"/>
        </w:rPr>
        <w:t xml:space="preserve"> </w:t>
      </w:r>
      <w:r w:rsidR="005252EB">
        <w:rPr>
          <w:rFonts w:ascii="Times New Roman" w:hAnsi="Times New Roman" w:cs="Times New Roman"/>
        </w:rPr>
        <w:t xml:space="preserve">Rs. </w:t>
      </w:r>
      <w:r w:rsidR="00AA59B0" w:rsidRPr="00EB5449">
        <w:rPr>
          <w:rFonts w:ascii="Times New Roman" w:hAnsi="Times New Roman" w:cs="Times New Roman"/>
        </w:rPr>
        <w:t>4.8</w:t>
      </w:r>
      <w:r w:rsidR="00810B9A" w:rsidRPr="00EB5449">
        <w:rPr>
          <w:rFonts w:ascii="Times New Roman" w:hAnsi="Times New Roman" w:cs="Times New Roman"/>
        </w:rPr>
        <w:t xml:space="preserve"> per unit </w:t>
      </w:r>
      <w:r w:rsidR="00D22467" w:rsidRPr="00EB5449">
        <w:rPr>
          <w:rFonts w:ascii="Times New Roman" w:hAnsi="Times New Roman" w:cs="Times New Roman"/>
        </w:rPr>
        <w:t xml:space="preserve">by </w:t>
      </w:r>
      <w:r w:rsidR="00810B9A" w:rsidRPr="00EB5449">
        <w:rPr>
          <w:rFonts w:ascii="Times New Roman" w:hAnsi="Times New Roman" w:cs="Times New Roman"/>
        </w:rPr>
        <w:t xml:space="preserve">Delaware </w:t>
      </w:r>
      <w:r w:rsidR="00216CB5" w:rsidRPr="00EB5449">
        <w:rPr>
          <w:rFonts w:ascii="Times New Roman" w:hAnsi="Times New Roman" w:cs="Times New Roman"/>
        </w:rPr>
        <w:t>discom</w:t>
      </w:r>
      <w:r w:rsidRPr="00EB5449">
        <w:rPr>
          <w:rFonts w:ascii="Times New Roman" w:hAnsi="Times New Roman" w:cs="Times New Roman"/>
        </w:rPr>
        <w:t xml:space="preserve">, whereas </w:t>
      </w:r>
      <w:r w:rsidR="00810B9A" w:rsidRPr="00EB5449">
        <w:rPr>
          <w:rFonts w:ascii="Times New Roman" w:hAnsi="Times New Roman" w:cs="Times New Roman"/>
        </w:rPr>
        <w:t xml:space="preserve">many new private </w:t>
      </w:r>
      <w:r w:rsidR="00D22467" w:rsidRPr="00EB5449">
        <w:rPr>
          <w:rFonts w:ascii="Times New Roman" w:hAnsi="Times New Roman" w:cs="Times New Roman"/>
        </w:rPr>
        <w:t xml:space="preserve">companies have come up </w:t>
      </w:r>
      <w:r w:rsidR="00810B9A" w:rsidRPr="00EB5449">
        <w:rPr>
          <w:rFonts w:ascii="Times New Roman" w:hAnsi="Times New Roman" w:cs="Times New Roman"/>
        </w:rPr>
        <w:t>with offer</w:t>
      </w:r>
      <w:r w:rsidR="005252EB">
        <w:rPr>
          <w:rFonts w:ascii="Times New Roman" w:hAnsi="Times New Roman" w:cs="Times New Roman"/>
        </w:rPr>
        <w:t>s</w:t>
      </w:r>
      <w:r w:rsidR="00810B9A" w:rsidRPr="00EB5449">
        <w:rPr>
          <w:rFonts w:ascii="Times New Roman" w:hAnsi="Times New Roman" w:cs="Times New Roman"/>
        </w:rPr>
        <w:t xml:space="preserve"> as low as Rs. 2.5-3.0 per unit in five year agreement</w:t>
      </w:r>
      <w:r w:rsidRPr="00EB5449">
        <w:rPr>
          <w:rFonts w:ascii="Times New Roman" w:hAnsi="Times New Roman" w:cs="Times New Roman"/>
        </w:rPr>
        <w:t xml:space="preserve">. The one rupee differences will create at least 50 paisa/unit reduction in tariff. </w:t>
      </w:r>
      <w:r w:rsidR="00CA1BDD" w:rsidRPr="00EB5449">
        <w:rPr>
          <w:rFonts w:ascii="Times New Roman" w:hAnsi="Times New Roman" w:cs="Times New Roman"/>
        </w:rPr>
        <w:t>Higher costs of power</w:t>
      </w:r>
      <w:r w:rsidR="00AA59B0" w:rsidRPr="00EB5449">
        <w:rPr>
          <w:rFonts w:ascii="Times New Roman" w:hAnsi="Times New Roman" w:cs="Times New Roman"/>
        </w:rPr>
        <w:t xml:space="preserve"> purchased from the state run electricity organization, </w:t>
      </w:r>
      <w:r w:rsidR="00EB5449">
        <w:rPr>
          <w:rFonts w:ascii="Times New Roman" w:hAnsi="Times New Roman" w:cs="Times New Roman"/>
        </w:rPr>
        <w:t xml:space="preserve">Thermal power </w:t>
      </w:r>
      <w:r w:rsidR="00C81704" w:rsidRPr="00EB5449">
        <w:rPr>
          <w:rFonts w:ascii="Times New Roman" w:hAnsi="Times New Roman" w:cs="Times New Roman"/>
        </w:rPr>
        <w:t>C</w:t>
      </w:r>
      <w:r w:rsidR="00EB5449">
        <w:rPr>
          <w:rFonts w:ascii="Times New Roman" w:hAnsi="Times New Roman" w:cs="Times New Roman"/>
        </w:rPr>
        <w:t>orporation</w:t>
      </w:r>
      <w:r w:rsidR="00CA1BDD" w:rsidRPr="00EB5449">
        <w:rPr>
          <w:rFonts w:ascii="Times New Roman" w:hAnsi="Times New Roman" w:cs="Times New Roman"/>
        </w:rPr>
        <w:t xml:space="preserve">, is ultimately being </w:t>
      </w:r>
      <w:r w:rsidR="00216CB5" w:rsidRPr="00EB5449">
        <w:rPr>
          <w:rFonts w:ascii="Times New Roman" w:hAnsi="Times New Roman" w:cs="Times New Roman"/>
        </w:rPr>
        <w:t>billed to the consumers of Delaware</w:t>
      </w:r>
      <w:r w:rsidR="00AA59B0" w:rsidRPr="00EB5449">
        <w:rPr>
          <w:rFonts w:ascii="Times New Roman" w:hAnsi="Times New Roman" w:cs="Times New Roman"/>
        </w:rPr>
        <w:t>.</w:t>
      </w:r>
      <w:r w:rsidR="00AA59B0" w:rsidRPr="00EB5449">
        <w:rPr>
          <w:rFonts w:ascii="Times New Roman" w:hAnsi="Times New Roman" w:cs="Times New Roman"/>
          <w:color w:val="3E3E3E"/>
        </w:rPr>
        <w:t xml:space="preserve"> </w:t>
      </w:r>
    </w:p>
    <w:tbl>
      <w:tblPr>
        <w:tblStyle w:val="TableGrid"/>
        <w:tblpPr w:leftFromText="180" w:rightFromText="180" w:vertAnchor="text" w:horzAnchor="margin" w:tblpXSpec="center" w:tblpY="213"/>
        <w:tblW w:w="7455" w:type="dxa"/>
        <w:tblLook w:val="04A0"/>
      </w:tblPr>
      <w:tblGrid>
        <w:gridCol w:w="1491"/>
        <w:gridCol w:w="1491"/>
        <w:gridCol w:w="1491"/>
        <w:gridCol w:w="1491"/>
        <w:gridCol w:w="1491"/>
      </w:tblGrid>
      <w:tr w:rsidR="00F61725" w:rsidTr="00F61725">
        <w:trPr>
          <w:trHeight w:val="611"/>
        </w:trPr>
        <w:tc>
          <w:tcPr>
            <w:tcW w:w="1491" w:type="dxa"/>
            <w:shd w:val="clear" w:color="auto" w:fill="FBD4B4" w:themeFill="accent6" w:themeFillTint="66"/>
          </w:tcPr>
          <w:p w:rsidR="00F61725" w:rsidRDefault="00F61725" w:rsidP="00F61725">
            <w:r>
              <w:t xml:space="preserve">Power procurement Companies </w:t>
            </w:r>
          </w:p>
        </w:tc>
        <w:tc>
          <w:tcPr>
            <w:tcW w:w="1491" w:type="dxa"/>
            <w:shd w:val="clear" w:color="auto" w:fill="FBD4B4" w:themeFill="accent6" w:themeFillTint="66"/>
          </w:tcPr>
          <w:p w:rsidR="00F61725" w:rsidRDefault="00F61725" w:rsidP="00F61725">
            <w:r>
              <w:t xml:space="preserve">Energy requirement </w:t>
            </w:r>
          </w:p>
          <w:p w:rsidR="00F61725" w:rsidRDefault="00F61725" w:rsidP="00F61725">
            <w:r>
              <w:t>(MUs)</w:t>
            </w:r>
          </w:p>
        </w:tc>
        <w:tc>
          <w:tcPr>
            <w:tcW w:w="1491" w:type="dxa"/>
            <w:shd w:val="clear" w:color="auto" w:fill="FBD4B4" w:themeFill="accent6" w:themeFillTint="66"/>
          </w:tcPr>
          <w:p w:rsidR="00F61725" w:rsidRDefault="00F61725" w:rsidP="00F61725">
            <w:r>
              <w:t>Amount (Rs crore)</w:t>
            </w:r>
          </w:p>
        </w:tc>
        <w:tc>
          <w:tcPr>
            <w:tcW w:w="1491" w:type="dxa"/>
            <w:shd w:val="clear" w:color="auto" w:fill="FBD4B4" w:themeFill="accent6" w:themeFillTint="66"/>
          </w:tcPr>
          <w:p w:rsidR="00F61725" w:rsidRDefault="00F61725" w:rsidP="00F61725">
            <w:r>
              <w:t>Rate(Rs/unit)</w:t>
            </w:r>
          </w:p>
        </w:tc>
        <w:tc>
          <w:tcPr>
            <w:tcW w:w="1491" w:type="dxa"/>
            <w:shd w:val="clear" w:color="auto" w:fill="FBD4B4" w:themeFill="accent6" w:themeFillTint="66"/>
          </w:tcPr>
          <w:p w:rsidR="00F61725" w:rsidRDefault="00F61725" w:rsidP="00F61725">
            <w:r>
              <w:t xml:space="preserve">% increase in rates over two years </w:t>
            </w:r>
          </w:p>
        </w:tc>
      </w:tr>
      <w:tr w:rsidR="00F61725" w:rsidTr="00F61725">
        <w:trPr>
          <w:trHeight w:val="298"/>
        </w:trPr>
        <w:tc>
          <w:tcPr>
            <w:tcW w:w="1491" w:type="dxa"/>
            <w:shd w:val="clear" w:color="auto" w:fill="D6E3BC" w:themeFill="accent3" w:themeFillTint="66"/>
          </w:tcPr>
          <w:p w:rsidR="00F61725" w:rsidRDefault="00F61725" w:rsidP="00F61725">
            <w:r>
              <w:t>TPC</w:t>
            </w:r>
          </w:p>
        </w:tc>
        <w:tc>
          <w:tcPr>
            <w:tcW w:w="1491" w:type="dxa"/>
            <w:shd w:val="clear" w:color="auto" w:fill="D6E3BC" w:themeFill="accent3" w:themeFillTint="66"/>
          </w:tcPr>
          <w:p w:rsidR="00F61725" w:rsidRDefault="00F61725" w:rsidP="00F61725">
            <w:r>
              <w:t>3740</w:t>
            </w:r>
          </w:p>
        </w:tc>
        <w:tc>
          <w:tcPr>
            <w:tcW w:w="1491" w:type="dxa"/>
            <w:shd w:val="clear" w:color="auto" w:fill="D6E3BC" w:themeFill="accent3" w:themeFillTint="66"/>
          </w:tcPr>
          <w:p w:rsidR="00F61725" w:rsidRDefault="00F61725" w:rsidP="00F61725">
            <w:r>
              <w:t>1794</w:t>
            </w:r>
          </w:p>
        </w:tc>
        <w:tc>
          <w:tcPr>
            <w:tcW w:w="1491" w:type="dxa"/>
            <w:shd w:val="clear" w:color="auto" w:fill="D6E3BC" w:themeFill="accent3" w:themeFillTint="66"/>
          </w:tcPr>
          <w:p w:rsidR="00F61725" w:rsidRDefault="00F61725" w:rsidP="00F61725">
            <w:r>
              <w:t>4.8</w:t>
            </w:r>
          </w:p>
        </w:tc>
        <w:tc>
          <w:tcPr>
            <w:tcW w:w="1491" w:type="dxa"/>
            <w:shd w:val="clear" w:color="auto" w:fill="D6E3BC" w:themeFill="accent3" w:themeFillTint="66"/>
          </w:tcPr>
          <w:p w:rsidR="00F61725" w:rsidRDefault="00F61725" w:rsidP="00F61725">
            <w:r>
              <w:t>22</w:t>
            </w:r>
          </w:p>
        </w:tc>
      </w:tr>
      <w:tr w:rsidR="00F61725" w:rsidTr="00F61725">
        <w:trPr>
          <w:trHeight w:val="312"/>
        </w:trPr>
        <w:tc>
          <w:tcPr>
            <w:tcW w:w="1491" w:type="dxa"/>
            <w:shd w:val="clear" w:color="auto" w:fill="D6E3BC" w:themeFill="accent3" w:themeFillTint="66"/>
          </w:tcPr>
          <w:p w:rsidR="00F61725" w:rsidRDefault="00F61725" w:rsidP="00F61725">
            <w:r>
              <w:t>Other long term PPA’s</w:t>
            </w:r>
          </w:p>
        </w:tc>
        <w:tc>
          <w:tcPr>
            <w:tcW w:w="1491" w:type="dxa"/>
            <w:shd w:val="clear" w:color="auto" w:fill="D6E3BC" w:themeFill="accent3" w:themeFillTint="66"/>
          </w:tcPr>
          <w:p w:rsidR="00F61725" w:rsidRDefault="00F61725" w:rsidP="00F61725">
            <w:r>
              <w:t>2436.5</w:t>
            </w:r>
          </w:p>
        </w:tc>
        <w:tc>
          <w:tcPr>
            <w:tcW w:w="1491" w:type="dxa"/>
            <w:shd w:val="clear" w:color="auto" w:fill="D6E3BC" w:themeFill="accent3" w:themeFillTint="66"/>
          </w:tcPr>
          <w:p w:rsidR="00F61725" w:rsidRDefault="00F61725" w:rsidP="00F61725">
            <w:r>
              <w:t>978</w:t>
            </w:r>
          </w:p>
        </w:tc>
        <w:tc>
          <w:tcPr>
            <w:tcW w:w="1491" w:type="dxa"/>
            <w:shd w:val="clear" w:color="auto" w:fill="D6E3BC" w:themeFill="accent3" w:themeFillTint="66"/>
          </w:tcPr>
          <w:p w:rsidR="00F61725" w:rsidRDefault="00F61725" w:rsidP="00F61725">
            <w:r>
              <w:t>4.01</w:t>
            </w:r>
          </w:p>
        </w:tc>
        <w:tc>
          <w:tcPr>
            <w:tcW w:w="1491" w:type="dxa"/>
            <w:shd w:val="clear" w:color="auto" w:fill="D6E3BC" w:themeFill="accent3" w:themeFillTint="66"/>
          </w:tcPr>
          <w:p w:rsidR="00F61725" w:rsidRDefault="00F61725" w:rsidP="00F61725">
            <w:r>
              <w:t>0</w:t>
            </w:r>
          </w:p>
        </w:tc>
      </w:tr>
    </w:tbl>
    <w:p w:rsidR="00AA59B0" w:rsidRDefault="00AA59B0" w:rsidP="00500F34">
      <w:pPr>
        <w:spacing w:line="360" w:lineRule="auto"/>
        <w:jc w:val="both"/>
        <w:rPr>
          <w:rFonts w:ascii="Times New Roman" w:hAnsi="Times New Roman" w:cs="Times New Roman"/>
          <w:color w:val="3E3E3E"/>
          <w:sz w:val="24"/>
          <w:szCs w:val="24"/>
        </w:rPr>
      </w:pPr>
    </w:p>
    <w:p w:rsidR="00AA59B0" w:rsidRDefault="00AA59B0" w:rsidP="00500F34">
      <w:pPr>
        <w:spacing w:line="360" w:lineRule="auto"/>
        <w:jc w:val="both"/>
        <w:rPr>
          <w:rFonts w:ascii="Times New Roman" w:hAnsi="Times New Roman" w:cs="Times New Roman"/>
          <w:color w:val="3E3E3E"/>
          <w:sz w:val="24"/>
          <w:szCs w:val="24"/>
        </w:rPr>
      </w:pPr>
    </w:p>
    <w:p w:rsidR="00672EFE" w:rsidRDefault="00672EFE" w:rsidP="00500F34">
      <w:pPr>
        <w:spacing w:line="360" w:lineRule="auto"/>
        <w:jc w:val="both"/>
        <w:rPr>
          <w:rFonts w:ascii="Times New Roman" w:hAnsi="Times New Roman" w:cs="Times New Roman"/>
          <w:color w:val="3E3E3E"/>
          <w:sz w:val="24"/>
          <w:szCs w:val="24"/>
        </w:rPr>
      </w:pPr>
    </w:p>
    <w:p w:rsidR="00AA59B0" w:rsidRDefault="00AA59B0" w:rsidP="00500F34">
      <w:pPr>
        <w:spacing w:line="360" w:lineRule="auto"/>
        <w:jc w:val="both"/>
        <w:rPr>
          <w:rFonts w:ascii="Times New Roman" w:hAnsi="Times New Roman" w:cs="Times New Roman"/>
          <w:sz w:val="24"/>
          <w:szCs w:val="24"/>
        </w:rPr>
      </w:pPr>
    </w:p>
    <w:p w:rsidR="007F4A1B" w:rsidRPr="00EB5449" w:rsidRDefault="00F70563" w:rsidP="00EB5449">
      <w:pPr>
        <w:spacing w:line="360" w:lineRule="auto"/>
        <w:jc w:val="both"/>
        <w:rPr>
          <w:rFonts w:ascii="Times New Roman" w:hAnsi="Times New Roman" w:cs="Times New Roman"/>
        </w:rPr>
      </w:pPr>
      <w:r w:rsidRPr="00EB5449">
        <w:rPr>
          <w:rFonts w:ascii="Times New Roman" w:hAnsi="Times New Roman" w:cs="Times New Roman"/>
        </w:rPr>
        <w:t xml:space="preserve">In 2015 there has been a change in government of Delaware, which has come to the power on the populist agenda of reduction in electricity prices of the city.  </w:t>
      </w:r>
      <w:r w:rsidR="00810B9A" w:rsidRPr="00EB5449">
        <w:rPr>
          <w:rFonts w:ascii="Times New Roman" w:hAnsi="Times New Roman" w:cs="Times New Roman"/>
        </w:rPr>
        <w:t>Now the present government want</w:t>
      </w:r>
      <w:r w:rsidR="00BE600A">
        <w:rPr>
          <w:rFonts w:ascii="Times New Roman" w:hAnsi="Times New Roman" w:cs="Times New Roman"/>
        </w:rPr>
        <w:t>s</w:t>
      </w:r>
      <w:r w:rsidR="00810B9A" w:rsidRPr="00EB5449">
        <w:rPr>
          <w:rFonts w:ascii="Times New Roman" w:hAnsi="Times New Roman" w:cs="Times New Roman"/>
        </w:rPr>
        <w:t xml:space="preserve"> to cancel the existing power </w:t>
      </w:r>
      <w:r w:rsidR="00BE600A">
        <w:rPr>
          <w:rFonts w:ascii="Times New Roman" w:hAnsi="Times New Roman" w:cs="Times New Roman"/>
        </w:rPr>
        <w:t xml:space="preserve">purchase </w:t>
      </w:r>
      <w:r w:rsidR="00810B9A" w:rsidRPr="00EB5449">
        <w:rPr>
          <w:rFonts w:ascii="Times New Roman" w:hAnsi="Times New Roman" w:cs="Times New Roman"/>
        </w:rPr>
        <w:t xml:space="preserve">agreements entered into by the previous government, so that the benefit of lower cost can be transferred </w:t>
      </w:r>
      <w:r w:rsidR="00CC7E40" w:rsidRPr="00EB5449">
        <w:rPr>
          <w:rFonts w:ascii="Times New Roman" w:hAnsi="Times New Roman" w:cs="Times New Roman"/>
        </w:rPr>
        <w:t>onto</w:t>
      </w:r>
      <w:r w:rsidR="00810B9A" w:rsidRPr="00EB5449">
        <w:rPr>
          <w:rFonts w:ascii="Times New Roman" w:hAnsi="Times New Roman" w:cs="Times New Roman"/>
        </w:rPr>
        <w:t xml:space="preserve"> the consumers. </w:t>
      </w:r>
      <w:r w:rsidR="00EB5449">
        <w:rPr>
          <w:rFonts w:ascii="Times New Roman" w:hAnsi="Times New Roman" w:cs="Times New Roman"/>
        </w:rPr>
        <w:t>The Central Electricity R</w:t>
      </w:r>
      <w:r w:rsidR="00B92384">
        <w:rPr>
          <w:rFonts w:ascii="Times New Roman" w:hAnsi="Times New Roman" w:cs="Times New Roman"/>
        </w:rPr>
        <w:t>egulator</w:t>
      </w:r>
      <w:r w:rsidR="007F4A1B" w:rsidRPr="00EB5449">
        <w:rPr>
          <w:rFonts w:ascii="Times New Roman" w:hAnsi="Times New Roman" w:cs="Times New Roman"/>
        </w:rPr>
        <w:t xml:space="preserve"> of Indiana</w:t>
      </w:r>
      <w:r w:rsidR="00B92384">
        <w:rPr>
          <w:rFonts w:ascii="Times New Roman" w:hAnsi="Times New Roman" w:cs="Times New Roman"/>
        </w:rPr>
        <w:t xml:space="preserve"> appointed under the Electricity Act, a</w:t>
      </w:r>
      <w:r w:rsidR="007F4A1B" w:rsidRPr="00EB5449">
        <w:rPr>
          <w:rFonts w:ascii="Times New Roman" w:hAnsi="Times New Roman" w:cs="Times New Roman"/>
        </w:rPr>
        <w:t>llowed the petition of the Delaware on suspending long term purch</w:t>
      </w:r>
      <w:r w:rsidR="00BE600A">
        <w:rPr>
          <w:rFonts w:ascii="Times New Roman" w:hAnsi="Times New Roman" w:cs="Times New Roman"/>
        </w:rPr>
        <w:t xml:space="preserve">ase power agreements. However, on the appeal filed by the Thermal power Corporation, </w:t>
      </w:r>
      <w:r w:rsidR="007F4A1B" w:rsidRPr="00EB5449">
        <w:rPr>
          <w:rFonts w:ascii="Times New Roman" w:hAnsi="Times New Roman" w:cs="Times New Roman"/>
        </w:rPr>
        <w:t>the Appellate Tribun</w:t>
      </w:r>
      <w:r w:rsidR="00BE600A">
        <w:rPr>
          <w:rFonts w:ascii="Times New Roman" w:hAnsi="Times New Roman" w:cs="Times New Roman"/>
        </w:rPr>
        <w:t>al of E</w:t>
      </w:r>
      <w:r w:rsidR="00EB5449">
        <w:rPr>
          <w:rFonts w:ascii="Times New Roman" w:hAnsi="Times New Roman" w:cs="Times New Roman"/>
        </w:rPr>
        <w:t>lectricity rejected the c</w:t>
      </w:r>
      <w:r w:rsidR="007F4A1B" w:rsidRPr="00EB5449">
        <w:rPr>
          <w:rFonts w:ascii="Times New Roman" w:hAnsi="Times New Roman" w:cs="Times New Roman"/>
        </w:rPr>
        <w:t>laim of Delaware, now the state of Delaware has approached the</w:t>
      </w:r>
      <w:r w:rsidR="00B92384">
        <w:rPr>
          <w:rFonts w:ascii="Times New Roman" w:hAnsi="Times New Roman" w:cs="Times New Roman"/>
        </w:rPr>
        <w:t xml:space="preserve"> Honourable </w:t>
      </w:r>
      <w:r w:rsidR="00B92384" w:rsidRPr="00EB5449">
        <w:rPr>
          <w:rFonts w:ascii="Times New Roman" w:hAnsi="Times New Roman" w:cs="Times New Roman"/>
        </w:rPr>
        <w:t>Supreme</w:t>
      </w:r>
      <w:r w:rsidR="007F4A1B" w:rsidRPr="00EB5449">
        <w:rPr>
          <w:rFonts w:ascii="Times New Roman" w:hAnsi="Times New Roman" w:cs="Times New Roman"/>
        </w:rPr>
        <w:t xml:space="preserve"> Court of Indiana.</w:t>
      </w:r>
      <w:r w:rsidR="007F4A1B" w:rsidRPr="00EB5449">
        <w:rPr>
          <w:rFonts w:ascii="Times New Roman" w:hAnsi="Times New Roman" w:cs="Times New Roman"/>
        </w:rPr>
        <w:tab/>
      </w:r>
    </w:p>
    <w:p w:rsidR="00917B82" w:rsidRPr="00EB5449" w:rsidRDefault="00917B82" w:rsidP="00EB5449">
      <w:pPr>
        <w:spacing w:line="360" w:lineRule="auto"/>
        <w:jc w:val="both"/>
        <w:rPr>
          <w:rFonts w:ascii="Times New Roman" w:hAnsi="Times New Roman" w:cs="Times New Roman"/>
          <w:lang w:bidi="en-US"/>
        </w:rPr>
      </w:pPr>
      <w:r w:rsidRPr="00EB5449">
        <w:rPr>
          <w:rFonts w:ascii="Times New Roman" w:hAnsi="Times New Roman" w:cs="Times New Roman"/>
        </w:rPr>
        <w:t>Separately North Atlantic Inc. has requested the U</w:t>
      </w:r>
      <w:r w:rsidR="00EB5449">
        <w:rPr>
          <w:rFonts w:ascii="Times New Roman" w:hAnsi="Times New Roman" w:cs="Times New Roman"/>
        </w:rPr>
        <w:t>K</w:t>
      </w:r>
      <w:r w:rsidRPr="00EB5449">
        <w:rPr>
          <w:rFonts w:ascii="Times New Roman" w:hAnsi="Times New Roman" w:cs="Times New Roman"/>
        </w:rPr>
        <w:t xml:space="preserve"> Government to invoke the provision of </w:t>
      </w:r>
      <w:r w:rsidRPr="00EB5449">
        <w:rPr>
          <w:rFonts w:ascii="Times New Roman" w:hAnsi="Times New Roman" w:cs="Times New Roman"/>
          <w:lang w:bidi="en-US"/>
        </w:rPr>
        <w:t>Bilateral Investment</w:t>
      </w:r>
      <w:r w:rsidR="00B77750">
        <w:rPr>
          <w:rFonts w:ascii="Times New Roman" w:hAnsi="Times New Roman" w:cs="Times New Roman"/>
          <w:lang w:bidi="en-US"/>
        </w:rPr>
        <w:t xml:space="preserve"> Promotion &amp; Protection Treaty</w:t>
      </w:r>
      <w:r w:rsidRPr="00EB5449">
        <w:rPr>
          <w:rFonts w:ascii="Times New Roman" w:hAnsi="Times New Roman" w:cs="Times New Roman"/>
          <w:lang w:bidi="en-US"/>
        </w:rPr>
        <w:t xml:space="preserve"> to international commercial arbitration against the government of India</w:t>
      </w:r>
      <w:r w:rsidR="000B6584" w:rsidRPr="00EB5449">
        <w:rPr>
          <w:rFonts w:ascii="Times New Roman" w:hAnsi="Times New Roman" w:cs="Times New Roman"/>
          <w:lang w:bidi="en-US"/>
        </w:rPr>
        <w:t>na</w:t>
      </w:r>
      <w:r w:rsidRPr="00EB5449">
        <w:rPr>
          <w:rFonts w:ascii="Times New Roman" w:hAnsi="Times New Roman" w:cs="Times New Roman"/>
          <w:lang w:bidi="en-US"/>
        </w:rPr>
        <w:t xml:space="preserve">.  </w:t>
      </w:r>
    </w:p>
    <w:p w:rsidR="00C81704" w:rsidRDefault="00C81704" w:rsidP="00122952">
      <w:pPr>
        <w:spacing w:line="360" w:lineRule="auto"/>
        <w:jc w:val="both"/>
        <w:rPr>
          <w:rFonts w:ascii="Times New Roman" w:hAnsi="Times New Roman" w:cs="Times New Roman"/>
          <w:sz w:val="24"/>
          <w:szCs w:val="24"/>
        </w:rPr>
      </w:pPr>
    </w:p>
    <w:p w:rsidR="00B02499" w:rsidRDefault="00B02499" w:rsidP="00122952">
      <w:pPr>
        <w:spacing w:line="360" w:lineRule="auto"/>
        <w:jc w:val="both"/>
        <w:rPr>
          <w:rFonts w:ascii="Times New Roman" w:hAnsi="Times New Roman" w:cs="Times New Roman"/>
          <w:sz w:val="24"/>
          <w:szCs w:val="24"/>
        </w:rPr>
      </w:pPr>
    </w:p>
    <w:p w:rsidR="00B02499" w:rsidRDefault="00B02499" w:rsidP="00122952">
      <w:pPr>
        <w:spacing w:line="360" w:lineRule="auto"/>
        <w:jc w:val="both"/>
        <w:rPr>
          <w:rFonts w:ascii="Times New Roman" w:hAnsi="Times New Roman" w:cs="Times New Roman"/>
          <w:sz w:val="24"/>
          <w:szCs w:val="24"/>
        </w:rPr>
      </w:pPr>
    </w:p>
    <w:p w:rsidR="00B02499" w:rsidRDefault="00B02499" w:rsidP="00122952">
      <w:pPr>
        <w:spacing w:line="360" w:lineRule="auto"/>
        <w:jc w:val="both"/>
        <w:rPr>
          <w:rFonts w:ascii="Times New Roman" w:hAnsi="Times New Roman" w:cs="Times New Roman"/>
          <w:sz w:val="24"/>
          <w:szCs w:val="24"/>
        </w:rPr>
      </w:pPr>
    </w:p>
    <w:p w:rsidR="00122952" w:rsidRPr="009B0F5A" w:rsidRDefault="00122952" w:rsidP="00122952">
      <w:pPr>
        <w:spacing w:line="360" w:lineRule="auto"/>
        <w:jc w:val="both"/>
        <w:rPr>
          <w:rFonts w:ascii="Times New Roman" w:hAnsi="Times New Roman" w:cs="Times New Roman"/>
          <w:b/>
          <w:bCs/>
          <w:color w:val="222222"/>
          <w:u w:val="single"/>
          <w:shd w:val="clear" w:color="auto" w:fill="FFFFFF"/>
        </w:rPr>
      </w:pPr>
      <w:r w:rsidRPr="009B0F5A">
        <w:rPr>
          <w:rFonts w:ascii="Times New Roman" w:hAnsi="Times New Roman" w:cs="Times New Roman"/>
          <w:b/>
          <w:bCs/>
          <w:color w:val="222222"/>
          <w:u w:val="single"/>
          <w:shd w:val="clear" w:color="auto" w:fill="FFFFFF"/>
        </w:rPr>
        <w:t>ISSUES</w:t>
      </w:r>
      <w:r w:rsidR="009B0F5A">
        <w:rPr>
          <w:rFonts w:ascii="Times New Roman" w:hAnsi="Times New Roman" w:cs="Times New Roman"/>
          <w:b/>
          <w:bCs/>
          <w:color w:val="222222"/>
          <w:u w:val="single"/>
          <w:shd w:val="clear" w:color="auto" w:fill="FFFFFF"/>
        </w:rPr>
        <w:t>:</w:t>
      </w:r>
    </w:p>
    <w:p w:rsidR="00122952" w:rsidRDefault="00122952" w:rsidP="00122952">
      <w:pPr>
        <w:pStyle w:val="ListParagraph0"/>
        <w:numPr>
          <w:ilvl w:val="0"/>
          <w:numId w:val="4"/>
        </w:numPr>
        <w:spacing w:line="360" w:lineRule="auto"/>
        <w:jc w:val="both"/>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lastRenderedPageBreak/>
        <w:t>Is the appellant (</w:t>
      </w:r>
      <w:r w:rsidR="009B50B0">
        <w:rPr>
          <w:rFonts w:ascii="Arial" w:hAnsi="Arial" w:cs="Arial"/>
          <w:b/>
          <w:bCs/>
          <w:color w:val="222222"/>
          <w:sz w:val="20"/>
          <w:szCs w:val="20"/>
          <w:shd w:val="clear" w:color="auto" w:fill="FFFFFF"/>
        </w:rPr>
        <w:t>State of Delaware</w:t>
      </w:r>
      <w:r>
        <w:rPr>
          <w:rFonts w:ascii="Arial" w:hAnsi="Arial" w:cs="Arial"/>
          <w:b/>
          <w:bCs/>
          <w:color w:val="222222"/>
          <w:sz w:val="20"/>
          <w:szCs w:val="20"/>
          <w:shd w:val="clear" w:color="auto" w:fill="FFFFFF"/>
        </w:rPr>
        <w:t xml:space="preserve">) justified in seeking for the cancellation of the long </w:t>
      </w:r>
      <w:r w:rsidR="00330F88">
        <w:rPr>
          <w:rFonts w:ascii="Arial" w:hAnsi="Arial" w:cs="Arial"/>
          <w:b/>
          <w:bCs/>
          <w:color w:val="222222"/>
          <w:sz w:val="20"/>
          <w:szCs w:val="20"/>
          <w:shd w:val="clear" w:color="auto" w:fill="FFFFFF"/>
        </w:rPr>
        <w:t>term purchase agreement with</w:t>
      </w:r>
      <w:r>
        <w:rPr>
          <w:rFonts w:ascii="Arial" w:hAnsi="Arial" w:cs="Arial"/>
          <w:b/>
          <w:bCs/>
          <w:color w:val="222222"/>
          <w:sz w:val="20"/>
          <w:szCs w:val="20"/>
          <w:shd w:val="clear" w:color="auto" w:fill="FFFFFF"/>
        </w:rPr>
        <w:t xml:space="preserve"> </w:t>
      </w:r>
      <w:r w:rsidR="00B02499">
        <w:rPr>
          <w:rFonts w:ascii="Arial" w:hAnsi="Arial" w:cs="Arial"/>
          <w:b/>
          <w:bCs/>
          <w:color w:val="222222"/>
          <w:sz w:val="20"/>
          <w:szCs w:val="20"/>
          <w:shd w:val="clear" w:color="auto" w:fill="FFFFFF"/>
        </w:rPr>
        <w:t>Thermal Power corporation</w:t>
      </w:r>
      <w:r>
        <w:rPr>
          <w:rFonts w:ascii="Arial" w:hAnsi="Arial" w:cs="Arial"/>
          <w:b/>
          <w:bCs/>
          <w:color w:val="222222"/>
          <w:sz w:val="20"/>
          <w:szCs w:val="20"/>
          <w:shd w:val="clear" w:color="auto" w:fill="FFFFFF"/>
        </w:rPr>
        <w:t xml:space="preserve">? </w:t>
      </w:r>
    </w:p>
    <w:p w:rsidR="00951987" w:rsidRDefault="00951987" w:rsidP="00122952">
      <w:pPr>
        <w:pStyle w:val="ListParagraph0"/>
        <w:numPr>
          <w:ilvl w:val="0"/>
          <w:numId w:val="4"/>
        </w:numPr>
        <w:spacing w:line="360" w:lineRule="auto"/>
        <w:jc w:val="both"/>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Whether </w:t>
      </w:r>
      <w:r w:rsidR="000B6584">
        <w:rPr>
          <w:rFonts w:ascii="Arial" w:hAnsi="Arial" w:cs="Arial"/>
          <w:b/>
          <w:bCs/>
          <w:color w:val="222222"/>
          <w:sz w:val="20"/>
          <w:szCs w:val="20"/>
          <w:shd w:val="clear" w:color="auto" w:fill="FFFFFF"/>
        </w:rPr>
        <w:t xml:space="preserve">North Atlantic Edison Inc is correct in approaching through UK </w:t>
      </w:r>
      <w:r w:rsidR="00B10F57">
        <w:rPr>
          <w:rFonts w:ascii="Arial" w:hAnsi="Arial" w:cs="Arial"/>
          <w:b/>
          <w:bCs/>
          <w:color w:val="222222"/>
          <w:sz w:val="20"/>
          <w:szCs w:val="20"/>
          <w:shd w:val="clear" w:color="auto" w:fill="FFFFFF"/>
        </w:rPr>
        <w:t xml:space="preserve">government </w:t>
      </w:r>
      <w:r w:rsidR="000B6584">
        <w:rPr>
          <w:rFonts w:ascii="Arial" w:hAnsi="Arial" w:cs="Arial"/>
          <w:b/>
          <w:bCs/>
          <w:color w:val="222222"/>
          <w:sz w:val="20"/>
          <w:szCs w:val="20"/>
          <w:shd w:val="clear" w:color="auto" w:fill="FFFFFF"/>
        </w:rPr>
        <w:t>to seek relief under Bilateral Agreements</w:t>
      </w:r>
      <w:r>
        <w:rPr>
          <w:rFonts w:ascii="Arial" w:hAnsi="Arial" w:cs="Arial"/>
          <w:b/>
          <w:bCs/>
          <w:color w:val="222222"/>
          <w:sz w:val="20"/>
          <w:szCs w:val="20"/>
          <w:shd w:val="clear" w:color="auto" w:fill="FFFFFF"/>
        </w:rPr>
        <w:t>?</w:t>
      </w:r>
    </w:p>
    <w:p w:rsidR="004D7293" w:rsidRDefault="00951987" w:rsidP="00FB3F40">
      <w:pPr>
        <w:pStyle w:val="ListParagraph0"/>
        <w:numPr>
          <w:ilvl w:val="0"/>
          <w:numId w:val="4"/>
        </w:numPr>
        <w:spacing w:line="360" w:lineRule="auto"/>
        <w:jc w:val="both"/>
        <w:rPr>
          <w:rFonts w:ascii="Arial" w:hAnsi="Arial" w:cs="Arial"/>
          <w:b/>
          <w:bCs/>
          <w:color w:val="222222"/>
          <w:sz w:val="20"/>
          <w:szCs w:val="20"/>
          <w:shd w:val="clear" w:color="auto" w:fill="FFFFFF"/>
        </w:rPr>
      </w:pPr>
      <w:r w:rsidRPr="009B50B0">
        <w:rPr>
          <w:rFonts w:ascii="Arial" w:hAnsi="Arial" w:cs="Arial"/>
          <w:b/>
          <w:bCs/>
          <w:color w:val="222222"/>
          <w:sz w:val="20"/>
          <w:szCs w:val="20"/>
          <w:shd w:val="clear" w:color="auto" w:fill="FFFFFF"/>
        </w:rPr>
        <w:t xml:space="preserve">Do state government have any other option to deal with </w:t>
      </w:r>
      <w:r w:rsidR="00330F88" w:rsidRPr="009B50B0">
        <w:rPr>
          <w:rFonts w:ascii="Arial" w:hAnsi="Arial" w:cs="Arial"/>
          <w:b/>
          <w:bCs/>
          <w:color w:val="222222"/>
          <w:sz w:val="20"/>
          <w:szCs w:val="20"/>
          <w:shd w:val="clear" w:color="auto" w:fill="FFFFFF"/>
        </w:rPr>
        <w:t xml:space="preserve">the </w:t>
      </w:r>
      <w:r w:rsidRPr="009B50B0">
        <w:rPr>
          <w:rFonts w:ascii="Arial" w:hAnsi="Arial" w:cs="Arial"/>
          <w:b/>
          <w:bCs/>
          <w:color w:val="222222"/>
          <w:sz w:val="20"/>
          <w:szCs w:val="20"/>
          <w:shd w:val="clear" w:color="auto" w:fill="FFFFFF"/>
        </w:rPr>
        <w:t>situation rather than cancelling the long term agreements?</w:t>
      </w:r>
    </w:p>
    <w:p w:rsidR="009B50B0" w:rsidRDefault="009B50B0" w:rsidP="009B50B0">
      <w:pPr>
        <w:pStyle w:val="ListParagraph0"/>
        <w:spacing w:line="360" w:lineRule="auto"/>
        <w:jc w:val="both"/>
        <w:rPr>
          <w:rFonts w:ascii="Arial" w:hAnsi="Arial" w:cs="Arial"/>
          <w:b/>
          <w:bCs/>
          <w:color w:val="222222"/>
          <w:sz w:val="20"/>
          <w:szCs w:val="20"/>
          <w:shd w:val="clear" w:color="auto" w:fill="FFFFFF"/>
        </w:rPr>
      </w:pPr>
    </w:p>
    <w:p w:rsidR="00B02499" w:rsidRDefault="00B02499" w:rsidP="009B50B0">
      <w:pPr>
        <w:pStyle w:val="ListParagraph0"/>
        <w:spacing w:line="360" w:lineRule="auto"/>
        <w:jc w:val="both"/>
        <w:rPr>
          <w:rFonts w:ascii="Arial" w:hAnsi="Arial" w:cs="Arial"/>
          <w:b/>
          <w:bCs/>
          <w:color w:val="222222"/>
          <w:sz w:val="20"/>
          <w:szCs w:val="20"/>
          <w:shd w:val="clear" w:color="auto" w:fill="FFFFFF"/>
        </w:rPr>
      </w:pPr>
    </w:p>
    <w:p w:rsidR="00B02499" w:rsidRDefault="00B02499" w:rsidP="009B50B0">
      <w:pPr>
        <w:pStyle w:val="ListParagraph0"/>
        <w:spacing w:line="360" w:lineRule="auto"/>
        <w:jc w:val="both"/>
        <w:rPr>
          <w:rFonts w:ascii="Arial" w:hAnsi="Arial" w:cs="Arial"/>
          <w:b/>
          <w:bCs/>
          <w:color w:val="222222"/>
          <w:sz w:val="20"/>
          <w:szCs w:val="20"/>
          <w:shd w:val="clear" w:color="auto" w:fill="FFFFFF"/>
        </w:rPr>
      </w:pPr>
    </w:p>
    <w:p w:rsidR="00B02499" w:rsidRPr="009B50B0" w:rsidRDefault="00B02499" w:rsidP="009B50B0">
      <w:pPr>
        <w:pStyle w:val="ListParagraph0"/>
        <w:spacing w:line="360" w:lineRule="auto"/>
        <w:jc w:val="both"/>
        <w:rPr>
          <w:rFonts w:ascii="Arial" w:hAnsi="Arial" w:cs="Arial"/>
          <w:b/>
          <w:bCs/>
          <w:color w:val="222222"/>
          <w:sz w:val="20"/>
          <w:szCs w:val="20"/>
          <w:shd w:val="clear" w:color="auto" w:fill="FFFFFF"/>
        </w:rPr>
      </w:pPr>
    </w:p>
    <w:p w:rsidR="004D7293" w:rsidRPr="00B02499" w:rsidRDefault="009B0F5A" w:rsidP="00FB3F40">
      <w:pPr>
        <w:spacing w:line="360" w:lineRule="auto"/>
        <w:jc w:val="both"/>
        <w:rPr>
          <w:rFonts w:ascii="Times New Roman" w:hAnsi="Times New Roman" w:cs="Times New Roman"/>
          <w:b/>
          <w:bCs/>
          <w:color w:val="222222"/>
          <w:u w:val="single"/>
          <w:shd w:val="clear" w:color="auto" w:fill="FFFFFF"/>
        </w:rPr>
      </w:pPr>
      <w:r>
        <w:rPr>
          <w:rFonts w:ascii="Times New Roman" w:hAnsi="Times New Roman" w:cs="Times New Roman"/>
          <w:b/>
          <w:bCs/>
          <w:color w:val="222222"/>
          <w:u w:val="single"/>
          <w:shd w:val="clear" w:color="auto" w:fill="FFFFFF"/>
        </w:rPr>
        <w:t>NOTE</w:t>
      </w:r>
      <w:r w:rsidR="004D7293" w:rsidRPr="00B02499">
        <w:rPr>
          <w:rFonts w:ascii="Times New Roman" w:hAnsi="Times New Roman" w:cs="Times New Roman"/>
          <w:b/>
          <w:bCs/>
          <w:color w:val="222222"/>
          <w:u w:val="single"/>
          <w:shd w:val="clear" w:color="auto" w:fill="FFFFFF"/>
        </w:rPr>
        <w:t>:</w:t>
      </w:r>
    </w:p>
    <w:p w:rsidR="00777F3B" w:rsidRPr="00B02499" w:rsidRDefault="00777F3B" w:rsidP="00B02499">
      <w:pPr>
        <w:spacing w:after="0"/>
        <w:jc w:val="both"/>
        <w:rPr>
          <w:rFonts w:ascii="Times New Roman" w:hAnsi="Times New Roman" w:cs="Times New Roman"/>
          <w:b/>
          <w:bCs/>
          <w:color w:val="222222"/>
          <w:shd w:val="clear" w:color="auto" w:fill="FFFFFF"/>
        </w:rPr>
      </w:pPr>
      <w:r w:rsidRPr="00B02499">
        <w:rPr>
          <w:rFonts w:ascii="Times New Roman" w:hAnsi="Times New Roman" w:cs="Times New Roman"/>
        </w:rPr>
        <w:t>The Legislations having the force of Law in the territories of Union of India shall be considered the same as the Laws in force in The Republic of Eureka.</w:t>
      </w:r>
    </w:p>
    <w:p w:rsidR="003B2E04" w:rsidRPr="00B02499" w:rsidRDefault="003B2E04" w:rsidP="00B02499">
      <w:pPr>
        <w:spacing w:after="0" w:line="360" w:lineRule="auto"/>
        <w:jc w:val="both"/>
        <w:rPr>
          <w:rFonts w:ascii="Times New Roman" w:hAnsi="Times New Roman" w:cs="Times New Roman"/>
          <w:b/>
          <w:bCs/>
          <w:color w:val="222222"/>
          <w:shd w:val="clear" w:color="auto" w:fill="FFFFFF"/>
        </w:rPr>
      </w:pPr>
    </w:p>
    <w:p w:rsidR="00FB3F40" w:rsidRPr="00B02499" w:rsidRDefault="009B0F5A" w:rsidP="00FB3F40">
      <w:pPr>
        <w:spacing w:line="360" w:lineRule="auto"/>
        <w:jc w:val="both"/>
        <w:rPr>
          <w:rFonts w:ascii="Times New Roman" w:hAnsi="Times New Roman" w:cs="Times New Roman"/>
          <w:b/>
          <w:bCs/>
          <w:color w:val="222222"/>
          <w:u w:val="single"/>
          <w:shd w:val="clear" w:color="auto" w:fill="FFFFFF"/>
        </w:rPr>
      </w:pPr>
      <w:r>
        <w:rPr>
          <w:rFonts w:ascii="Times New Roman" w:hAnsi="Times New Roman" w:cs="Times New Roman"/>
          <w:b/>
          <w:bCs/>
          <w:color w:val="222222"/>
          <w:u w:val="single"/>
          <w:shd w:val="clear" w:color="auto" w:fill="FFFFFF"/>
        </w:rPr>
        <w:t>TERMS</w:t>
      </w:r>
      <w:r w:rsidR="00B02499">
        <w:rPr>
          <w:rFonts w:ascii="Times New Roman" w:hAnsi="Times New Roman" w:cs="Times New Roman"/>
          <w:b/>
          <w:bCs/>
          <w:color w:val="222222"/>
          <w:u w:val="single"/>
          <w:shd w:val="clear" w:color="auto" w:fill="FFFFFF"/>
        </w:rPr>
        <w:t>:</w:t>
      </w:r>
    </w:p>
    <w:p w:rsidR="00FB3F40" w:rsidRPr="00B02499" w:rsidRDefault="00FB3F40" w:rsidP="00FB3F40">
      <w:pPr>
        <w:spacing w:line="360" w:lineRule="auto"/>
        <w:jc w:val="both"/>
        <w:rPr>
          <w:rFonts w:ascii="Times New Roman" w:hAnsi="Times New Roman" w:cs="Times New Roman"/>
        </w:rPr>
      </w:pPr>
      <w:r w:rsidRPr="00B02499">
        <w:rPr>
          <w:rFonts w:ascii="Times New Roman" w:hAnsi="Times New Roman" w:cs="Times New Roman"/>
          <w:b/>
          <w:bCs/>
          <w:color w:val="222222"/>
          <w:shd w:val="clear" w:color="auto" w:fill="FFFFFF"/>
        </w:rPr>
        <w:t>AT&amp;C Losses</w:t>
      </w:r>
    </w:p>
    <w:p w:rsidR="00FB3F40" w:rsidRPr="00B02499" w:rsidRDefault="00FB3F40" w:rsidP="00FB3F40">
      <w:pPr>
        <w:rPr>
          <w:rFonts w:ascii="Times New Roman" w:hAnsi="Times New Roman" w:cs="Times New Roman"/>
          <w:color w:val="222222"/>
          <w:shd w:val="clear" w:color="auto" w:fill="FFFFFF"/>
        </w:rPr>
      </w:pPr>
      <w:r w:rsidRPr="00B02499">
        <w:rPr>
          <w:rFonts w:ascii="Times New Roman" w:hAnsi="Times New Roman" w:cs="Times New Roman"/>
          <w:color w:val="222222"/>
          <w:shd w:val="clear" w:color="auto" w:fill="FFFFFF"/>
        </w:rPr>
        <w:t>Aggregate Technical and Commercial</w:t>
      </w:r>
      <w:r w:rsidRPr="00B02499">
        <w:rPr>
          <w:rStyle w:val="apple-converted-space"/>
          <w:rFonts w:ascii="Times New Roman" w:hAnsi="Times New Roman" w:cs="Times New Roman"/>
          <w:color w:val="222222"/>
          <w:shd w:val="clear" w:color="auto" w:fill="FFFFFF"/>
        </w:rPr>
        <w:t> </w:t>
      </w:r>
      <w:r w:rsidRPr="00B02499">
        <w:rPr>
          <w:rFonts w:ascii="Times New Roman" w:hAnsi="Times New Roman" w:cs="Times New Roman"/>
          <w:bCs/>
          <w:color w:val="222222"/>
          <w:shd w:val="clear" w:color="auto" w:fill="FFFFFF"/>
        </w:rPr>
        <w:t>Losses</w:t>
      </w:r>
      <w:r w:rsidRPr="00B02499">
        <w:rPr>
          <w:rFonts w:ascii="Times New Roman" w:hAnsi="Times New Roman" w:cs="Times New Roman"/>
          <w:color w:val="222222"/>
          <w:shd w:val="clear" w:color="auto" w:fill="FFFFFF"/>
        </w:rPr>
        <w:t xml:space="preserve"> is nothing but the. </w:t>
      </w:r>
      <w:r w:rsidR="009B50B0" w:rsidRPr="00B02499">
        <w:rPr>
          <w:rFonts w:ascii="Times New Roman" w:hAnsi="Times New Roman" w:cs="Times New Roman"/>
          <w:color w:val="222222"/>
          <w:shd w:val="clear" w:color="auto" w:fill="FFFFFF"/>
        </w:rPr>
        <w:t>Sum</w:t>
      </w:r>
      <w:r w:rsidRPr="00B02499">
        <w:rPr>
          <w:rFonts w:ascii="Times New Roman" w:hAnsi="Times New Roman" w:cs="Times New Roman"/>
          <w:color w:val="222222"/>
          <w:shd w:val="clear" w:color="auto" w:fill="FFFFFF"/>
        </w:rPr>
        <w:t xml:space="preserve"> total of technical</w:t>
      </w:r>
      <w:r w:rsidRPr="00B02499">
        <w:rPr>
          <w:rStyle w:val="apple-converted-space"/>
          <w:rFonts w:ascii="Times New Roman" w:hAnsi="Times New Roman" w:cs="Times New Roman"/>
          <w:color w:val="222222"/>
          <w:shd w:val="clear" w:color="auto" w:fill="FFFFFF"/>
        </w:rPr>
        <w:t> </w:t>
      </w:r>
      <w:r w:rsidRPr="00B02499">
        <w:rPr>
          <w:rFonts w:ascii="Times New Roman" w:hAnsi="Times New Roman" w:cs="Times New Roman"/>
          <w:bCs/>
          <w:color w:val="222222"/>
          <w:shd w:val="clear" w:color="auto" w:fill="FFFFFF"/>
        </w:rPr>
        <w:t>loss</w:t>
      </w:r>
      <w:r w:rsidRPr="00B02499">
        <w:rPr>
          <w:rFonts w:ascii="Times New Roman" w:hAnsi="Times New Roman" w:cs="Times New Roman"/>
          <w:color w:val="222222"/>
          <w:shd w:val="clear" w:color="auto" w:fill="FFFFFF"/>
        </w:rPr>
        <w:t>, commercial</w:t>
      </w:r>
      <w:r w:rsidRPr="00B02499">
        <w:rPr>
          <w:rStyle w:val="apple-converted-space"/>
          <w:rFonts w:ascii="Times New Roman" w:hAnsi="Times New Roman" w:cs="Times New Roman"/>
          <w:color w:val="222222"/>
          <w:shd w:val="clear" w:color="auto" w:fill="FFFFFF"/>
        </w:rPr>
        <w:t> </w:t>
      </w:r>
      <w:r w:rsidRPr="00B02499">
        <w:rPr>
          <w:rFonts w:ascii="Times New Roman" w:hAnsi="Times New Roman" w:cs="Times New Roman"/>
          <w:bCs/>
          <w:color w:val="222222"/>
          <w:shd w:val="clear" w:color="auto" w:fill="FFFFFF"/>
        </w:rPr>
        <w:t>losses</w:t>
      </w:r>
      <w:r w:rsidRPr="00B02499">
        <w:rPr>
          <w:rStyle w:val="apple-converted-space"/>
          <w:rFonts w:ascii="Times New Roman" w:hAnsi="Times New Roman" w:cs="Times New Roman"/>
          <w:color w:val="222222"/>
          <w:shd w:val="clear" w:color="auto" w:fill="FFFFFF"/>
        </w:rPr>
        <w:t> </w:t>
      </w:r>
      <w:r w:rsidRPr="00B02499">
        <w:rPr>
          <w:rFonts w:ascii="Times New Roman" w:hAnsi="Times New Roman" w:cs="Times New Roman"/>
          <w:color w:val="222222"/>
          <w:shd w:val="clear" w:color="auto" w:fill="FFFFFF"/>
        </w:rPr>
        <w:t>and shortage due to non- realisation of total billed amount: {(Total Energy Input LESS Energy Realised)/ Total Energy Input}*100.</w:t>
      </w:r>
    </w:p>
    <w:p w:rsidR="00FB3F40" w:rsidRPr="00B02499" w:rsidRDefault="00FB3F40" w:rsidP="00FB3F40">
      <w:pPr>
        <w:rPr>
          <w:rFonts w:ascii="Times New Roman" w:hAnsi="Times New Roman" w:cs="Times New Roman"/>
          <w:color w:val="222222"/>
          <w:shd w:val="clear" w:color="auto" w:fill="FFFFFF"/>
        </w:rPr>
      </w:pPr>
      <w:r w:rsidRPr="00B02499">
        <w:rPr>
          <w:rFonts w:ascii="Times New Roman" w:hAnsi="Times New Roman" w:cs="Times New Roman"/>
          <w:color w:val="222222"/>
          <w:shd w:val="clear" w:color="auto" w:fill="FFFFFF"/>
        </w:rPr>
        <w:t>Aggregate Technical and Commercial Loss (AT&amp;C) loss indicates technical as well as commercial losses in the power distribution and transmission network.</w:t>
      </w:r>
    </w:p>
    <w:p w:rsidR="00FB3F40" w:rsidRPr="00B02499" w:rsidRDefault="00FB3F40" w:rsidP="00FB3F40">
      <w:pPr>
        <w:rPr>
          <w:rFonts w:ascii="Times New Roman" w:hAnsi="Times New Roman" w:cs="Times New Roman"/>
          <w:color w:val="222222"/>
          <w:shd w:val="clear" w:color="auto" w:fill="FFFFFF"/>
        </w:rPr>
      </w:pPr>
    </w:p>
    <w:p w:rsidR="00FB3F40" w:rsidRPr="00B02499" w:rsidRDefault="00FB3F40" w:rsidP="00FB3F40">
      <w:pPr>
        <w:rPr>
          <w:rFonts w:ascii="Times New Roman" w:hAnsi="Times New Roman" w:cs="Times New Roman"/>
          <w:color w:val="222222"/>
          <w:shd w:val="clear" w:color="auto" w:fill="FFFFFF"/>
        </w:rPr>
      </w:pPr>
      <w:r w:rsidRPr="00B02499">
        <w:rPr>
          <w:rFonts w:ascii="Times New Roman" w:hAnsi="Times New Roman" w:cs="Times New Roman"/>
          <w:b/>
          <w:bCs/>
          <w:color w:val="222222"/>
          <w:shd w:val="clear" w:color="auto" w:fill="FFFFFF"/>
        </w:rPr>
        <w:t>Regulatory Asset</w:t>
      </w:r>
      <w:r w:rsidRPr="00B02499">
        <w:rPr>
          <w:rFonts w:ascii="Times New Roman" w:hAnsi="Times New Roman" w:cs="Times New Roman"/>
          <w:color w:val="222222"/>
          <w:shd w:val="clear" w:color="auto" w:fill="FFFFFF"/>
        </w:rPr>
        <w:t xml:space="preserve"> </w:t>
      </w:r>
    </w:p>
    <w:p w:rsidR="00FB3F40" w:rsidRPr="00B02499" w:rsidRDefault="00FB3F40" w:rsidP="00FB3F40">
      <w:pPr>
        <w:rPr>
          <w:rFonts w:ascii="Times New Roman" w:hAnsi="Times New Roman" w:cs="Times New Roman"/>
        </w:rPr>
      </w:pPr>
      <w:r w:rsidRPr="00B02499">
        <w:rPr>
          <w:rFonts w:ascii="Times New Roman" w:hAnsi="Times New Roman" w:cs="Times New Roman"/>
          <w:color w:val="222222"/>
          <w:shd w:val="clear" w:color="auto" w:fill="FFFFFF"/>
        </w:rPr>
        <w:t>Specific costs or revenues, which a</w:t>
      </w:r>
      <w:r w:rsidRPr="00B02499">
        <w:rPr>
          <w:rStyle w:val="apple-converted-space"/>
          <w:rFonts w:ascii="Times New Roman" w:hAnsi="Times New Roman" w:cs="Times New Roman"/>
          <w:color w:val="222222"/>
          <w:shd w:val="clear" w:color="auto" w:fill="FFFFFF"/>
        </w:rPr>
        <w:t> </w:t>
      </w:r>
      <w:r w:rsidRPr="00B02499">
        <w:rPr>
          <w:rFonts w:ascii="Times New Roman" w:hAnsi="Times New Roman" w:cs="Times New Roman"/>
          <w:bCs/>
          <w:color w:val="222222"/>
          <w:shd w:val="clear" w:color="auto" w:fill="FFFFFF"/>
        </w:rPr>
        <w:t>regulatory</w:t>
      </w:r>
      <w:r w:rsidRPr="00B02499">
        <w:rPr>
          <w:rFonts w:ascii="Times New Roman" w:hAnsi="Times New Roman" w:cs="Times New Roman"/>
          <w:color w:val="222222"/>
          <w:shd w:val="clear" w:color="auto" w:fill="FFFFFF"/>
        </w:rPr>
        <w:t xml:space="preserve"> agency permits a public utility (usually an energy company) to defer to its balance sheet. These amounts would otherwise be required to appear on the company's income statement and would be charged against current expenses or revenues.</w:t>
      </w:r>
    </w:p>
    <w:p w:rsidR="00FB3F40" w:rsidRPr="00B02499" w:rsidRDefault="00FB3F40" w:rsidP="00FB3F40">
      <w:pPr>
        <w:spacing w:line="360" w:lineRule="auto"/>
        <w:jc w:val="both"/>
        <w:rPr>
          <w:rFonts w:ascii="Times New Roman" w:hAnsi="Times New Roman" w:cs="Times New Roman"/>
          <w:b/>
          <w:bCs/>
          <w:color w:val="222222"/>
          <w:shd w:val="clear" w:color="auto" w:fill="FFFFFF"/>
        </w:rPr>
      </w:pPr>
    </w:p>
    <w:p w:rsidR="00F0581C" w:rsidRDefault="00F0581C" w:rsidP="00FB3F40">
      <w:pPr>
        <w:spacing w:line="360" w:lineRule="auto"/>
        <w:jc w:val="both"/>
        <w:rPr>
          <w:rFonts w:ascii="Arial" w:hAnsi="Arial" w:cs="Arial"/>
          <w:b/>
          <w:bCs/>
          <w:color w:val="222222"/>
          <w:shd w:val="clear" w:color="auto" w:fill="FFFFFF"/>
        </w:rPr>
      </w:pPr>
    </w:p>
    <w:p w:rsidR="00F0581C" w:rsidRDefault="00F0581C" w:rsidP="00FB3F40">
      <w:pPr>
        <w:spacing w:line="360" w:lineRule="auto"/>
        <w:jc w:val="both"/>
        <w:rPr>
          <w:rFonts w:ascii="Arial" w:hAnsi="Arial" w:cs="Arial"/>
          <w:b/>
          <w:bCs/>
          <w:color w:val="222222"/>
          <w:shd w:val="clear" w:color="auto" w:fill="FFFFFF"/>
        </w:rPr>
      </w:pPr>
    </w:p>
    <w:sectPr w:rsidR="00F0581C" w:rsidSect="0010702E">
      <w:footerReference w:type="default" r:id="rId9"/>
      <w:pgSz w:w="11906" w:h="16838"/>
      <w:pgMar w:top="1440" w:right="1286"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513" w:rsidRDefault="00E24513" w:rsidP="00D22467">
      <w:pPr>
        <w:spacing w:after="0" w:line="240" w:lineRule="auto"/>
      </w:pPr>
      <w:r>
        <w:separator/>
      </w:r>
    </w:p>
  </w:endnote>
  <w:endnote w:type="continuationSeparator" w:id="1">
    <w:p w:rsidR="00E24513" w:rsidRDefault="00E24513" w:rsidP="00D22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9895428"/>
      <w:docPartObj>
        <w:docPartGallery w:val="Page Numbers (Bottom of Page)"/>
        <w:docPartUnique/>
      </w:docPartObj>
    </w:sdtPr>
    <w:sdtContent>
      <w:sdt>
        <w:sdtPr>
          <w:id w:val="565050523"/>
          <w:docPartObj>
            <w:docPartGallery w:val="Page Numbers (Top of Page)"/>
            <w:docPartUnique/>
          </w:docPartObj>
        </w:sdtPr>
        <w:sdtContent>
          <w:p w:rsidR="0081216C" w:rsidRDefault="0081216C">
            <w:pPr>
              <w:pStyle w:val="Footer"/>
              <w:jc w:val="right"/>
            </w:pPr>
            <w:r>
              <w:t xml:space="preserve">Page </w:t>
            </w:r>
            <w:r w:rsidR="00F06618">
              <w:rPr>
                <w:b/>
                <w:sz w:val="24"/>
                <w:szCs w:val="24"/>
              </w:rPr>
              <w:fldChar w:fldCharType="begin"/>
            </w:r>
            <w:r>
              <w:rPr>
                <w:b/>
              </w:rPr>
              <w:instrText xml:space="preserve"> PAGE </w:instrText>
            </w:r>
            <w:r w:rsidR="00F06618">
              <w:rPr>
                <w:b/>
                <w:sz w:val="24"/>
                <w:szCs w:val="24"/>
              </w:rPr>
              <w:fldChar w:fldCharType="separate"/>
            </w:r>
            <w:r w:rsidR="00102964">
              <w:rPr>
                <w:b/>
                <w:noProof/>
              </w:rPr>
              <w:t>2</w:t>
            </w:r>
            <w:r w:rsidR="00F06618">
              <w:rPr>
                <w:b/>
                <w:sz w:val="24"/>
                <w:szCs w:val="24"/>
              </w:rPr>
              <w:fldChar w:fldCharType="end"/>
            </w:r>
            <w:r>
              <w:t xml:space="preserve"> of </w:t>
            </w:r>
            <w:r w:rsidR="00F06618">
              <w:rPr>
                <w:b/>
                <w:sz w:val="24"/>
                <w:szCs w:val="24"/>
              </w:rPr>
              <w:fldChar w:fldCharType="begin"/>
            </w:r>
            <w:r>
              <w:rPr>
                <w:b/>
              </w:rPr>
              <w:instrText xml:space="preserve"> NUMPAGES  </w:instrText>
            </w:r>
            <w:r w:rsidR="00F06618">
              <w:rPr>
                <w:b/>
                <w:sz w:val="24"/>
                <w:szCs w:val="24"/>
              </w:rPr>
              <w:fldChar w:fldCharType="separate"/>
            </w:r>
            <w:r w:rsidR="00102964">
              <w:rPr>
                <w:b/>
                <w:noProof/>
              </w:rPr>
              <w:t>4</w:t>
            </w:r>
            <w:r w:rsidR="00F06618">
              <w:rPr>
                <w:b/>
                <w:sz w:val="24"/>
                <w:szCs w:val="24"/>
              </w:rPr>
              <w:fldChar w:fldCharType="end"/>
            </w:r>
          </w:p>
        </w:sdtContent>
      </w:sdt>
    </w:sdtContent>
  </w:sdt>
  <w:p w:rsidR="009B50B0" w:rsidRDefault="009B50B0" w:rsidP="00B024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513" w:rsidRDefault="00E24513" w:rsidP="00D22467">
      <w:pPr>
        <w:spacing w:after="0" w:line="240" w:lineRule="auto"/>
      </w:pPr>
      <w:r>
        <w:separator/>
      </w:r>
    </w:p>
  </w:footnote>
  <w:footnote w:type="continuationSeparator" w:id="1">
    <w:p w:rsidR="00E24513" w:rsidRDefault="00E24513" w:rsidP="00D224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31543"/>
    <w:multiLevelType w:val="hybridMultilevel"/>
    <w:tmpl w:val="C5FC067C"/>
    <w:lvl w:ilvl="0" w:tplc="40090001">
      <w:start w:val="1"/>
      <w:numFmt w:val="bullet"/>
      <w:lvlText w:val=""/>
      <w:lvlJc w:val="left"/>
      <w:pPr>
        <w:ind w:left="578" w:hanging="360"/>
      </w:pPr>
      <w:rPr>
        <w:rFonts w:ascii="Symbol" w:hAnsi="Symbol" w:hint="default"/>
      </w:rPr>
    </w:lvl>
    <w:lvl w:ilvl="1" w:tplc="40090003" w:tentative="1">
      <w:start w:val="1"/>
      <w:numFmt w:val="bullet"/>
      <w:lvlText w:val="o"/>
      <w:lvlJc w:val="left"/>
      <w:pPr>
        <w:ind w:left="1298" w:hanging="360"/>
      </w:pPr>
      <w:rPr>
        <w:rFonts w:ascii="Courier New" w:hAnsi="Courier New" w:cs="Courier New" w:hint="default"/>
      </w:rPr>
    </w:lvl>
    <w:lvl w:ilvl="2" w:tplc="40090005" w:tentative="1">
      <w:start w:val="1"/>
      <w:numFmt w:val="bullet"/>
      <w:lvlText w:val=""/>
      <w:lvlJc w:val="left"/>
      <w:pPr>
        <w:ind w:left="2018" w:hanging="360"/>
      </w:pPr>
      <w:rPr>
        <w:rFonts w:ascii="Wingdings" w:hAnsi="Wingdings" w:hint="default"/>
      </w:rPr>
    </w:lvl>
    <w:lvl w:ilvl="3" w:tplc="40090001" w:tentative="1">
      <w:start w:val="1"/>
      <w:numFmt w:val="bullet"/>
      <w:lvlText w:val=""/>
      <w:lvlJc w:val="left"/>
      <w:pPr>
        <w:ind w:left="2738" w:hanging="360"/>
      </w:pPr>
      <w:rPr>
        <w:rFonts w:ascii="Symbol" w:hAnsi="Symbol" w:hint="default"/>
      </w:rPr>
    </w:lvl>
    <w:lvl w:ilvl="4" w:tplc="40090003" w:tentative="1">
      <w:start w:val="1"/>
      <w:numFmt w:val="bullet"/>
      <w:lvlText w:val="o"/>
      <w:lvlJc w:val="left"/>
      <w:pPr>
        <w:ind w:left="3458" w:hanging="360"/>
      </w:pPr>
      <w:rPr>
        <w:rFonts w:ascii="Courier New" w:hAnsi="Courier New" w:cs="Courier New" w:hint="default"/>
      </w:rPr>
    </w:lvl>
    <w:lvl w:ilvl="5" w:tplc="40090005" w:tentative="1">
      <w:start w:val="1"/>
      <w:numFmt w:val="bullet"/>
      <w:lvlText w:val=""/>
      <w:lvlJc w:val="left"/>
      <w:pPr>
        <w:ind w:left="4178" w:hanging="360"/>
      </w:pPr>
      <w:rPr>
        <w:rFonts w:ascii="Wingdings" w:hAnsi="Wingdings" w:hint="default"/>
      </w:rPr>
    </w:lvl>
    <w:lvl w:ilvl="6" w:tplc="40090001" w:tentative="1">
      <w:start w:val="1"/>
      <w:numFmt w:val="bullet"/>
      <w:lvlText w:val=""/>
      <w:lvlJc w:val="left"/>
      <w:pPr>
        <w:ind w:left="4898" w:hanging="360"/>
      </w:pPr>
      <w:rPr>
        <w:rFonts w:ascii="Symbol" w:hAnsi="Symbol" w:hint="default"/>
      </w:rPr>
    </w:lvl>
    <w:lvl w:ilvl="7" w:tplc="40090003" w:tentative="1">
      <w:start w:val="1"/>
      <w:numFmt w:val="bullet"/>
      <w:lvlText w:val="o"/>
      <w:lvlJc w:val="left"/>
      <w:pPr>
        <w:ind w:left="5618" w:hanging="360"/>
      </w:pPr>
      <w:rPr>
        <w:rFonts w:ascii="Courier New" w:hAnsi="Courier New" w:cs="Courier New" w:hint="default"/>
      </w:rPr>
    </w:lvl>
    <w:lvl w:ilvl="8" w:tplc="40090005" w:tentative="1">
      <w:start w:val="1"/>
      <w:numFmt w:val="bullet"/>
      <w:lvlText w:val=""/>
      <w:lvlJc w:val="left"/>
      <w:pPr>
        <w:ind w:left="6338" w:hanging="360"/>
      </w:pPr>
      <w:rPr>
        <w:rFonts w:ascii="Wingdings" w:hAnsi="Wingdings" w:hint="default"/>
      </w:rPr>
    </w:lvl>
  </w:abstractNum>
  <w:abstractNum w:abstractNumId="1">
    <w:nsid w:val="358915A6"/>
    <w:multiLevelType w:val="hybridMultilevel"/>
    <w:tmpl w:val="88DE26E8"/>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506" w:hanging="360"/>
      </w:pPr>
      <w:rPr>
        <w:rFonts w:ascii="Courier New" w:hAnsi="Courier New" w:cs="Courier New" w:hint="default"/>
      </w:rPr>
    </w:lvl>
    <w:lvl w:ilvl="2" w:tplc="40090005" w:tentative="1">
      <w:start w:val="1"/>
      <w:numFmt w:val="bullet"/>
      <w:lvlText w:val=""/>
      <w:lvlJc w:val="left"/>
      <w:pPr>
        <w:ind w:left="2226" w:hanging="360"/>
      </w:pPr>
      <w:rPr>
        <w:rFonts w:ascii="Wingdings" w:hAnsi="Wingdings" w:hint="default"/>
      </w:rPr>
    </w:lvl>
    <w:lvl w:ilvl="3" w:tplc="40090001" w:tentative="1">
      <w:start w:val="1"/>
      <w:numFmt w:val="bullet"/>
      <w:lvlText w:val=""/>
      <w:lvlJc w:val="left"/>
      <w:pPr>
        <w:ind w:left="2946" w:hanging="360"/>
      </w:pPr>
      <w:rPr>
        <w:rFonts w:ascii="Symbol" w:hAnsi="Symbol" w:hint="default"/>
      </w:rPr>
    </w:lvl>
    <w:lvl w:ilvl="4" w:tplc="40090003" w:tentative="1">
      <w:start w:val="1"/>
      <w:numFmt w:val="bullet"/>
      <w:lvlText w:val="o"/>
      <w:lvlJc w:val="left"/>
      <w:pPr>
        <w:ind w:left="3666" w:hanging="360"/>
      </w:pPr>
      <w:rPr>
        <w:rFonts w:ascii="Courier New" w:hAnsi="Courier New" w:cs="Courier New" w:hint="default"/>
      </w:rPr>
    </w:lvl>
    <w:lvl w:ilvl="5" w:tplc="40090005" w:tentative="1">
      <w:start w:val="1"/>
      <w:numFmt w:val="bullet"/>
      <w:lvlText w:val=""/>
      <w:lvlJc w:val="left"/>
      <w:pPr>
        <w:ind w:left="4386" w:hanging="360"/>
      </w:pPr>
      <w:rPr>
        <w:rFonts w:ascii="Wingdings" w:hAnsi="Wingdings" w:hint="default"/>
      </w:rPr>
    </w:lvl>
    <w:lvl w:ilvl="6" w:tplc="40090001" w:tentative="1">
      <w:start w:val="1"/>
      <w:numFmt w:val="bullet"/>
      <w:lvlText w:val=""/>
      <w:lvlJc w:val="left"/>
      <w:pPr>
        <w:ind w:left="5106" w:hanging="360"/>
      </w:pPr>
      <w:rPr>
        <w:rFonts w:ascii="Symbol" w:hAnsi="Symbol" w:hint="default"/>
      </w:rPr>
    </w:lvl>
    <w:lvl w:ilvl="7" w:tplc="40090003" w:tentative="1">
      <w:start w:val="1"/>
      <w:numFmt w:val="bullet"/>
      <w:lvlText w:val="o"/>
      <w:lvlJc w:val="left"/>
      <w:pPr>
        <w:ind w:left="5826" w:hanging="360"/>
      </w:pPr>
      <w:rPr>
        <w:rFonts w:ascii="Courier New" w:hAnsi="Courier New" w:cs="Courier New" w:hint="default"/>
      </w:rPr>
    </w:lvl>
    <w:lvl w:ilvl="8" w:tplc="40090005" w:tentative="1">
      <w:start w:val="1"/>
      <w:numFmt w:val="bullet"/>
      <w:lvlText w:val=""/>
      <w:lvlJc w:val="left"/>
      <w:pPr>
        <w:ind w:left="6546" w:hanging="360"/>
      </w:pPr>
      <w:rPr>
        <w:rFonts w:ascii="Wingdings" w:hAnsi="Wingdings" w:hint="default"/>
      </w:rPr>
    </w:lvl>
  </w:abstractNum>
  <w:abstractNum w:abstractNumId="2">
    <w:nsid w:val="5E1C2955"/>
    <w:multiLevelType w:val="hybridMultilevel"/>
    <w:tmpl w:val="B496957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nsid w:val="60DC201E"/>
    <w:multiLevelType w:val="hybridMultilevel"/>
    <w:tmpl w:val="76A61EB8"/>
    <w:lvl w:ilvl="0" w:tplc="F5F8D7E8">
      <w:start w:val="4"/>
      <w:numFmt w:val="bullet"/>
      <w:lvlText w:val=""/>
      <w:lvlJc w:val="left"/>
      <w:pPr>
        <w:ind w:left="720" w:hanging="360"/>
      </w:pPr>
      <w:rPr>
        <w:rFonts w:ascii="Wingdings" w:eastAsiaTheme="minorHAnsi" w:hAnsi="Wingdings"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351B1"/>
    <w:rsid w:val="000208C6"/>
    <w:rsid w:val="000677B3"/>
    <w:rsid w:val="0007019F"/>
    <w:rsid w:val="00070BB6"/>
    <w:rsid w:val="000A3071"/>
    <w:rsid w:val="000A4132"/>
    <w:rsid w:val="000B6584"/>
    <w:rsid w:val="00102964"/>
    <w:rsid w:val="0010702E"/>
    <w:rsid w:val="00112D18"/>
    <w:rsid w:val="00122952"/>
    <w:rsid w:val="00144E95"/>
    <w:rsid w:val="00157EB9"/>
    <w:rsid w:val="001A720E"/>
    <w:rsid w:val="001B7168"/>
    <w:rsid w:val="0020645E"/>
    <w:rsid w:val="00216CB5"/>
    <w:rsid w:val="00254F58"/>
    <w:rsid w:val="002570EB"/>
    <w:rsid w:val="00263C80"/>
    <w:rsid w:val="00292E61"/>
    <w:rsid w:val="00293E79"/>
    <w:rsid w:val="00296974"/>
    <w:rsid w:val="002A03C8"/>
    <w:rsid w:val="002D0520"/>
    <w:rsid w:val="002D0E34"/>
    <w:rsid w:val="002D13C9"/>
    <w:rsid w:val="002F0D68"/>
    <w:rsid w:val="00330F88"/>
    <w:rsid w:val="00352872"/>
    <w:rsid w:val="0036290B"/>
    <w:rsid w:val="0036518C"/>
    <w:rsid w:val="003B2E04"/>
    <w:rsid w:val="004271B9"/>
    <w:rsid w:val="00476F0E"/>
    <w:rsid w:val="0048070B"/>
    <w:rsid w:val="004C064E"/>
    <w:rsid w:val="004D7293"/>
    <w:rsid w:val="004F2269"/>
    <w:rsid w:val="00500F34"/>
    <w:rsid w:val="005252EB"/>
    <w:rsid w:val="00526805"/>
    <w:rsid w:val="00566F78"/>
    <w:rsid w:val="005A432B"/>
    <w:rsid w:val="00601CF3"/>
    <w:rsid w:val="00641A61"/>
    <w:rsid w:val="00662B13"/>
    <w:rsid w:val="00672EFE"/>
    <w:rsid w:val="006C56F3"/>
    <w:rsid w:val="006C69C7"/>
    <w:rsid w:val="006C6C7D"/>
    <w:rsid w:val="006E72AB"/>
    <w:rsid w:val="00777F3B"/>
    <w:rsid w:val="007E2907"/>
    <w:rsid w:val="007E7543"/>
    <w:rsid w:val="007F4A1B"/>
    <w:rsid w:val="00806AA7"/>
    <w:rsid w:val="00810B9A"/>
    <w:rsid w:val="0081216C"/>
    <w:rsid w:val="0085471B"/>
    <w:rsid w:val="00895636"/>
    <w:rsid w:val="00917B82"/>
    <w:rsid w:val="00927C15"/>
    <w:rsid w:val="009417B8"/>
    <w:rsid w:val="00951987"/>
    <w:rsid w:val="00965CC5"/>
    <w:rsid w:val="00981132"/>
    <w:rsid w:val="009B0F5A"/>
    <w:rsid w:val="009B50B0"/>
    <w:rsid w:val="009C700D"/>
    <w:rsid w:val="009F66DF"/>
    <w:rsid w:val="00A07C4E"/>
    <w:rsid w:val="00A93EC2"/>
    <w:rsid w:val="00AA59B0"/>
    <w:rsid w:val="00AB5355"/>
    <w:rsid w:val="00B02499"/>
    <w:rsid w:val="00B0748F"/>
    <w:rsid w:val="00B10F57"/>
    <w:rsid w:val="00B73AB8"/>
    <w:rsid w:val="00B77750"/>
    <w:rsid w:val="00B92384"/>
    <w:rsid w:val="00BE600A"/>
    <w:rsid w:val="00C0415F"/>
    <w:rsid w:val="00C40EA7"/>
    <w:rsid w:val="00C749EB"/>
    <w:rsid w:val="00C81704"/>
    <w:rsid w:val="00C94103"/>
    <w:rsid w:val="00CA1BDD"/>
    <w:rsid w:val="00CA5E0C"/>
    <w:rsid w:val="00CC769C"/>
    <w:rsid w:val="00CC7E40"/>
    <w:rsid w:val="00CF1961"/>
    <w:rsid w:val="00CF1A84"/>
    <w:rsid w:val="00D10274"/>
    <w:rsid w:val="00D10995"/>
    <w:rsid w:val="00D22467"/>
    <w:rsid w:val="00D32288"/>
    <w:rsid w:val="00D34496"/>
    <w:rsid w:val="00D351B1"/>
    <w:rsid w:val="00D74805"/>
    <w:rsid w:val="00DA1902"/>
    <w:rsid w:val="00DB32DB"/>
    <w:rsid w:val="00DE46D4"/>
    <w:rsid w:val="00DE633D"/>
    <w:rsid w:val="00E1260B"/>
    <w:rsid w:val="00E24513"/>
    <w:rsid w:val="00E34F12"/>
    <w:rsid w:val="00E61385"/>
    <w:rsid w:val="00EB5449"/>
    <w:rsid w:val="00EE2FC6"/>
    <w:rsid w:val="00F03710"/>
    <w:rsid w:val="00F0581C"/>
    <w:rsid w:val="00F06618"/>
    <w:rsid w:val="00F07907"/>
    <w:rsid w:val="00F2271B"/>
    <w:rsid w:val="00F6051A"/>
    <w:rsid w:val="00F61725"/>
    <w:rsid w:val="00F70563"/>
    <w:rsid w:val="00F7317D"/>
    <w:rsid w:val="00FA6637"/>
    <w:rsid w:val="00FA6BD0"/>
    <w:rsid w:val="00FB3F40"/>
    <w:rsid w:val="00FC7781"/>
    <w:rsid w:val="00FD50B3"/>
    <w:rsid w:val="00FE0C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9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6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2246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2467"/>
  </w:style>
  <w:style w:type="paragraph" w:styleId="Footer">
    <w:name w:val="footer"/>
    <w:basedOn w:val="Normal"/>
    <w:link w:val="FooterChar"/>
    <w:uiPriority w:val="99"/>
    <w:unhideWhenUsed/>
    <w:rsid w:val="00D224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467"/>
  </w:style>
  <w:style w:type="character" w:customStyle="1" w:styleId="apple-converted-space">
    <w:name w:val="apple-converted-space"/>
    <w:basedOn w:val="DefaultParagraphFont"/>
    <w:rsid w:val="00112D18"/>
  </w:style>
  <w:style w:type="paragraph" w:customStyle="1" w:styleId="listparagraph">
    <w:name w:val="listparagraph"/>
    <w:basedOn w:val="Normal"/>
    <w:rsid w:val="00112D18"/>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0">
    <w:name w:val="List Paragraph"/>
    <w:basedOn w:val="Normal"/>
    <w:uiPriority w:val="34"/>
    <w:qFormat/>
    <w:rsid w:val="009417B8"/>
    <w:pPr>
      <w:ind w:left="720"/>
      <w:contextualSpacing/>
    </w:pPr>
  </w:style>
  <w:style w:type="paragraph" w:styleId="BalloonText">
    <w:name w:val="Balloon Text"/>
    <w:basedOn w:val="Normal"/>
    <w:link w:val="BalloonTextChar"/>
    <w:uiPriority w:val="99"/>
    <w:semiHidden/>
    <w:unhideWhenUsed/>
    <w:rsid w:val="00FA6B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BD0"/>
    <w:rPr>
      <w:rFonts w:ascii="Tahoma" w:hAnsi="Tahoma" w:cs="Tahoma"/>
      <w:sz w:val="16"/>
      <w:szCs w:val="16"/>
    </w:rPr>
  </w:style>
  <w:style w:type="paragraph" w:styleId="Caption">
    <w:name w:val="caption"/>
    <w:basedOn w:val="Normal"/>
    <w:next w:val="Normal"/>
    <w:uiPriority w:val="35"/>
    <w:unhideWhenUsed/>
    <w:qFormat/>
    <w:rsid w:val="002D0E34"/>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777F3B"/>
    <w:rPr>
      <w:sz w:val="16"/>
      <w:szCs w:val="16"/>
    </w:rPr>
  </w:style>
  <w:style w:type="paragraph" w:styleId="CommentText">
    <w:name w:val="annotation text"/>
    <w:basedOn w:val="Normal"/>
    <w:link w:val="CommentTextChar"/>
    <w:uiPriority w:val="99"/>
    <w:semiHidden/>
    <w:unhideWhenUsed/>
    <w:rsid w:val="00777F3B"/>
    <w:pPr>
      <w:spacing w:line="240" w:lineRule="auto"/>
    </w:pPr>
    <w:rPr>
      <w:sz w:val="20"/>
      <w:szCs w:val="20"/>
    </w:rPr>
  </w:style>
  <w:style w:type="character" w:customStyle="1" w:styleId="CommentTextChar">
    <w:name w:val="Comment Text Char"/>
    <w:basedOn w:val="DefaultParagraphFont"/>
    <w:link w:val="CommentText"/>
    <w:uiPriority w:val="99"/>
    <w:semiHidden/>
    <w:rsid w:val="00777F3B"/>
    <w:rPr>
      <w:sz w:val="20"/>
      <w:szCs w:val="20"/>
    </w:rPr>
  </w:style>
  <w:style w:type="paragraph" w:styleId="CommentSubject">
    <w:name w:val="annotation subject"/>
    <w:basedOn w:val="CommentText"/>
    <w:next w:val="CommentText"/>
    <w:link w:val="CommentSubjectChar"/>
    <w:uiPriority w:val="99"/>
    <w:semiHidden/>
    <w:unhideWhenUsed/>
    <w:rsid w:val="00777F3B"/>
    <w:rPr>
      <w:b/>
      <w:bCs/>
    </w:rPr>
  </w:style>
  <w:style w:type="character" w:customStyle="1" w:styleId="CommentSubjectChar">
    <w:name w:val="Comment Subject Char"/>
    <w:basedOn w:val="CommentTextChar"/>
    <w:link w:val="CommentSubject"/>
    <w:uiPriority w:val="99"/>
    <w:semiHidden/>
    <w:rsid w:val="00777F3B"/>
    <w:rPr>
      <w:b/>
      <w:bCs/>
    </w:rPr>
  </w:style>
  <w:style w:type="character" w:styleId="Hyperlink">
    <w:name w:val="Hyperlink"/>
    <w:basedOn w:val="DefaultParagraphFont"/>
    <w:uiPriority w:val="99"/>
    <w:unhideWhenUsed/>
    <w:rsid w:val="00B024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6801979">
      <w:bodyDiv w:val="1"/>
      <w:marLeft w:val="0"/>
      <w:marRight w:val="0"/>
      <w:marTop w:val="0"/>
      <w:marBottom w:val="0"/>
      <w:divBdr>
        <w:top w:val="none" w:sz="0" w:space="0" w:color="auto"/>
        <w:left w:val="none" w:sz="0" w:space="0" w:color="auto"/>
        <w:bottom w:val="none" w:sz="0" w:space="0" w:color="auto"/>
        <w:right w:val="none" w:sz="0" w:space="0" w:color="auto"/>
      </w:divBdr>
    </w:div>
    <w:div w:id="917322418">
      <w:bodyDiv w:val="1"/>
      <w:marLeft w:val="0"/>
      <w:marRight w:val="0"/>
      <w:marTop w:val="0"/>
      <w:marBottom w:val="0"/>
      <w:divBdr>
        <w:top w:val="none" w:sz="0" w:space="0" w:color="auto"/>
        <w:left w:val="none" w:sz="0" w:space="0" w:color="auto"/>
        <w:bottom w:val="none" w:sz="0" w:space="0" w:color="auto"/>
        <w:right w:val="none" w:sz="0" w:space="0" w:color="auto"/>
      </w:divBdr>
    </w:div>
    <w:div w:id="185815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cked"/>
        <c:ser>
          <c:idx val="0"/>
          <c:order val="0"/>
          <c:tx>
            <c:strRef>
              <c:f>Sheet1!$B$1</c:f>
              <c:strCache>
                <c:ptCount val="1"/>
                <c:pt idx="0">
                  <c:v>AT&amp; C</c:v>
                </c:pt>
              </c:strCache>
            </c:strRef>
          </c:tx>
          <c:cat>
            <c:strRef>
              <c:f>Sheet1!$A$2:$A$5</c:f>
              <c:strCache>
                <c:ptCount val="4"/>
                <c:pt idx="0">
                  <c:v>2003-2004</c:v>
                </c:pt>
                <c:pt idx="1">
                  <c:v>2007-2008</c:v>
                </c:pt>
                <c:pt idx="2">
                  <c:v>2011-2012</c:v>
                </c:pt>
                <c:pt idx="3">
                  <c:v>2015-2016</c:v>
                </c:pt>
              </c:strCache>
            </c:strRef>
          </c:cat>
          <c:val>
            <c:numRef>
              <c:f>Sheet1!$B$2:$B$5</c:f>
              <c:numCache>
                <c:formatCode>General</c:formatCode>
                <c:ptCount val="4"/>
                <c:pt idx="0">
                  <c:v>50</c:v>
                </c:pt>
                <c:pt idx="1">
                  <c:v>35</c:v>
                </c:pt>
                <c:pt idx="2">
                  <c:v>20</c:v>
                </c:pt>
                <c:pt idx="3">
                  <c:v>10</c:v>
                </c:pt>
              </c:numCache>
            </c:numRef>
          </c:val>
        </c:ser>
        <c:ser>
          <c:idx val="1"/>
          <c:order val="1"/>
          <c:tx>
            <c:strRef>
              <c:f>Sheet1!$C$1</c:f>
              <c:strCache>
                <c:ptCount val="1"/>
                <c:pt idx="0">
                  <c:v>Column1</c:v>
                </c:pt>
              </c:strCache>
            </c:strRef>
          </c:tx>
          <c:cat>
            <c:strRef>
              <c:f>Sheet1!$A$2:$A$5</c:f>
              <c:strCache>
                <c:ptCount val="4"/>
                <c:pt idx="0">
                  <c:v>2003-2004</c:v>
                </c:pt>
                <c:pt idx="1">
                  <c:v>2007-2008</c:v>
                </c:pt>
                <c:pt idx="2">
                  <c:v>2011-2012</c:v>
                </c:pt>
                <c:pt idx="3">
                  <c:v>2015-2016</c:v>
                </c:pt>
              </c:strCache>
            </c:strRef>
          </c:cat>
          <c:val>
            <c:numRef>
              <c:f>Sheet1!$C$2:$C$5</c:f>
              <c:numCache>
                <c:formatCode>General</c:formatCode>
                <c:ptCount val="4"/>
              </c:numCache>
            </c:numRef>
          </c:val>
        </c:ser>
        <c:ser>
          <c:idx val="2"/>
          <c:order val="2"/>
          <c:tx>
            <c:strRef>
              <c:f>Sheet1!$D$1</c:f>
              <c:strCache>
                <c:ptCount val="1"/>
                <c:pt idx="0">
                  <c:v>AT&amp;C</c:v>
                </c:pt>
              </c:strCache>
            </c:strRef>
          </c:tx>
          <c:cat>
            <c:strRef>
              <c:f>Sheet1!$A$2:$A$5</c:f>
              <c:strCache>
                <c:ptCount val="4"/>
                <c:pt idx="0">
                  <c:v>2003-2004</c:v>
                </c:pt>
                <c:pt idx="1">
                  <c:v>2007-2008</c:v>
                </c:pt>
                <c:pt idx="2">
                  <c:v>2011-2012</c:v>
                </c:pt>
                <c:pt idx="3">
                  <c:v>2015-2016</c:v>
                </c:pt>
              </c:strCache>
            </c:strRef>
          </c:cat>
          <c:val>
            <c:numRef>
              <c:f>Sheet1!$D$2:$D$5</c:f>
              <c:numCache>
                <c:formatCode>General</c:formatCode>
                <c:ptCount val="4"/>
              </c:numCache>
            </c:numRef>
          </c:val>
        </c:ser>
        <c:marker val="1"/>
        <c:axId val="62529536"/>
        <c:axId val="62531072"/>
      </c:lineChart>
      <c:catAx>
        <c:axId val="62529536"/>
        <c:scaling>
          <c:orientation val="minMax"/>
        </c:scaling>
        <c:axPos val="b"/>
        <c:tickLblPos val="nextTo"/>
        <c:txPr>
          <a:bodyPr/>
          <a:lstStyle/>
          <a:p>
            <a:pPr>
              <a:defRPr lang="en-IN"/>
            </a:pPr>
            <a:endParaRPr lang="en-US"/>
          </a:p>
        </c:txPr>
        <c:crossAx val="62531072"/>
        <c:crosses val="autoZero"/>
        <c:auto val="1"/>
        <c:lblAlgn val="ctr"/>
        <c:lblOffset val="100"/>
      </c:catAx>
      <c:valAx>
        <c:axId val="62531072"/>
        <c:scaling>
          <c:orientation val="minMax"/>
        </c:scaling>
        <c:axPos val="l"/>
        <c:majorGridlines/>
        <c:numFmt formatCode="General" sourceLinked="1"/>
        <c:tickLblPos val="nextTo"/>
        <c:txPr>
          <a:bodyPr/>
          <a:lstStyle/>
          <a:p>
            <a:pPr>
              <a:defRPr lang="en-IN"/>
            </a:pPr>
            <a:endParaRPr lang="en-US"/>
          </a:p>
        </c:txPr>
        <c:crossAx val="62529536"/>
        <c:crosses val="autoZero"/>
        <c:crossBetween val="between"/>
      </c:valAx>
    </c:plotArea>
    <c:legend>
      <c:legendPos val="r"/>
      <c:legendEntry>
        <c:idx val="2"/>
        <c:delete val="1"/>
      </c:legendEntry>
      <c:legendEntry>
        <c:idx val="1"/>
        <c:delete val="1"/>
      </c:legendEntry>
      <c:txPr>
        <a:bodyPr/>
        <a:lstStyle/>
        <a:p>
          <a:pPr>
            <a:defRPr lang="en-IN"/>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C83AA-5B15-4000-B559-0EC0C9DBA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admin</cp:lastModifiedBy>
  <cp:revision>2</cp:revision>
  <cp:lastPrinted>2016-06-06T11:14:00Z</cp:lastPrinted>
  <dcterms:created xsi:type="dcterms:W3CDTF">2018-08-18T09:40:00Z</dcterms:created>
  <dcterms:modified xsi:type="dcterms:W3CDTF">2018-08-18T09:40:00Z</dcterms:modified>
</cp:coreProperties>
</file>