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margin" w:tblpXSpec="center" w:tblpY="49"/>
        <w:tblW w:w="11057" w:type="dxa"/>
        <w:tblBorders>
          <w:bottom w:val="single" w:sz="4" w:space="0" w:color="auto"/>
        </w:tblBorders>
        <w:tblLook w:val="01E0" w:firstRow="1" w:lastRow="1" w:firstColumn="1" w:lastColumn="1" w:noHBand="0" w:noVBand="0"/>
      </w:tblPr>
      <w:tblGrid>
        <w:gridCol w:w="2119"/>
        <w:gridCol w:w="6992"/>
        <w:gridCol w:w="1946"/>
      </w:tblGrid>
      <w:tr w:rsidR="00961D62" w:rsidRPr="00FE645E" w:rsidTr="00F95BA6">
        <w:trPr>
          <w:trHeight w:val="1589"/>
        </w:trPr>
        <w:tc>
          <w:tcPr>
            <w:tcW w:w="2119" w:type="dxa"/>
            <w:tcBorders>
              <w:bottom w:val="single" w:sz="4" w:space="0" w:color="auto"/>
            </w:tcBorders>
          </w:tcPr>
          <w:p w:rsidR="00961D62" w:rsidRPr="00FE645E" w:rsidRDefault="00961D62" w:rsidP="00F95BA6">
            <w:pPr>
              <w:pStyle w:val="Heading9"/>
              <w:spacing w:before="0" w:after="0" w:line="276" w:lineRule="auto"/>
              <w:rPr>
                <w:rFonts w:ascii="Garamond" w:hAnsi="Garamond" w:cs="Arial"/>
              </w:rPr>
            </w:pPr>
            <w:r w:rsidRPr="00FE645E">
              <w:rPr>
                <w:rFonts w:ascii="Garamond" w:hAnsi="Garamond" w:cs="Arial"/>
                <w:noProof/>
              </w:rPr>
              <w:drawing>
                <wp:inline distT="0" distB="0" distL="0" distR="0" wp14:anchorId="2EB55FAA" wp14:editId="7F23BC4B">
                  <wp:extent cx="733425" cy="923925"/>
                  <wp:effectExtent l="0" t="0" r="9525" b="9525"/>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3425" cy="923925"/>
                          </a:xfrm>
                          <a:prstGeom prst="rect">
                            <a:avLst/>
                          </a:prstGeom>
                          <a:noFill/>
                          <a:ln>
                            <a:noFill/>
                          </a:ln>
                        </pic:spPr>
                      </pic:pic>
                    </a:graphicData>
                  </a:graphic>
                </wp:inline>
              </w:drawing>
            </w:r>
          </w:p>
        </w:tc>
        <w:tc>
          <w:tcPr>
            <w:tcW w:w="6992" w:type="dxa"/>
            <w:tcBorders>
              <w:top w:val="nil"/>
              <w:bottom w:val="single" w:sz="4" w:space="0" w:color="auto"/>
            </w:tcBorders>
          </w:tcPr>
          <w:p w:rsidR="00961D62" w:rsidRPr="00FE645E" w:rsidRDefault="00961D62" w:rsidP="00D93EEA">
            <w:pPr>
              <w:pStyle w:val="Heading9"/>
              <w:rPr>
                <w:rFonts w:ascii="Garamond" w:hAnsi="Garamond"/>
              </w:rPr>
            </w:pPr>
            <w:r w:rsidRPr="00FE645E">
              <w:rPr>
                <w:rFonts w:ascii="Garamond" w:hAnsi="Garamond"/>
              </w:rPr>
              <w:t>Indian Law Society</w:t>
            </w:r>
          </w:p>
          <w:p w:rsidR="00961D62" w:rsidRPr="00FE645E" w:rsidRDefault="00961D62" w:rsidP="00F95BA6">
            <w:pPr>
              <w:spacing w:after="0"/>
              <w:jc w:val="center"/>
              <w:rPr>
                <w:rFonts w:ascii="Garamond" w:hAnsi="Garamond" w:cs="Arial"/>
                <w:color w:val="000000"/>
                <w:sz w:val="24"/>
                <w:szCs w:val="24"/>
              </w:rPr>
            </w:pPr>
            <w:r w:rsidRPr="00FE645E">
              <w:rPr>
                <w:rFonts w:ascii="Garamond" w:hAnsi="Garamond" w:cs="Arial"/>
                <w:color w:val="000000"/>
                <w:sz w:val="24"/>
                <w:szCs w:val="24"/>
              </w:rPr>
              <w:t>Law College Road, Pune 411 004</w:t>
            </w:r>
          </w:p>
          <w:p w:rsidR="00961D62" w:rsidRPr="00FE645E" w:rsidRDefault="00961D62" w:rsidP="00F95BA6">
            <w:pPr>
              <w:spacing w:after="0"/>
              <w:jc w:val="center"/>
              <w:rPr>
                <w:rFonts w:ascii="Garamond" w:hAnsi="Garamond" w:cs="Arial"/>
                <w:color w:val="000000"/>
                <w:sz w:val="24"/>
                <w:szCs w:val="24"/>
              </w:rPr>
            </w:pPr>
            <w:r w:rsidRPr="00FE645E">
              <w:rPr>
                <w:rFonts w:ascii="Garamond" w:hAnsi="Garamond" w:cs="Arial"/>
                <w:color w:val="000000"/>
                <w:sz w:val="24"/>
                <w:szCs w:val="24"/>
              </w:rPr>
              <w:t>Tel: 020-25656775, 020</w:t>
            </w:r>
            <w:r w:rsidR="008C5750" w:rsidRPr="00FE645E">
              <w:rPr>
                <w:rFonts w:ascii="Garamond" w:hAnsi="Garamond" w:cs="Arial"/>
                <w:color w:val="000000"/>
                <w:sz w:val="24"/>
                <w:szCs w:val="24"/>
              </w:rPr>
              <w:t>-25656780</w:t>
            </w:r>
            <w:r w:rsidR="008C5750" w:rsidRPr="00FE645E">
              <w:rPr>
                <w:rFonts w:ascii="Garamond" w:hAnsi="Garamond" w:cs="Arial"/>
                <w:color w:val="000000"/>
                <w:sz w:val="24"/>
                <w:szCs w:val="24"/>
              </w:rPr>
              <w:br/>
              <w:t>Email: ilslaw@ilslaw.in</w:t>
            </w:r>
            <w:r w:rsidRPr="00FE645E">
              <w:rPr>
                <w:rFonts w:ascii="Garamond" w:hAnsi="Garamond" w:cs="Arial"/>
                <w:color w:val="000000"/>
                <w:sz w:val="24"/>
                <w:szCs w:val="24"/>
              </w:rPr>
              <w:t xml:space="preserve">, Web: </w:t>
            </w:r>
            <w:r w:rsidRPr="00FE645E">
              <w:rPr>
                <w:rFonts w:ascii="Garamond" w:hAnsi="Garamond" w:cs="Arial"/>
                <w:sz w:val="24"/>
                <w:szCs w:val="24"/>
              </w:rPr>
              <w:t>www.ilslaw.edu</w:t>
            </w:r>
          </w:p>
          <w:p w:rsidR="00961D62" w:rsidRPr="00FE645E" w:rsidRDefault="00961D62" w:rsidP="00F95BA6">
            <w:pPr>
              <w:spacing w:after="0"/>
              <w:jc w:val="center"/>
              <w:rPr>
                <w:rFonts w:ascii="Garamond" w:hAnsi="Garamond" w:cs="Arial"/>
                <w:sz w:val="24"/>
                <w:szCs w:val="24"/>
              </w:rPr>
            </w:pPr>
            <w:r w:rsidRPr="00FE645E">
              <w:rPr>
                <w:rFonts w:ascii="Garamond" w:hAnsi="Garamond" w:cs="Arial"/>
                <w:sz w:val="24"/>
                <w:szCs w:val="24"/>
              </w:rPr>
              <w:t>Accredited A+ by NAAC (2004-2009)</w:t>
            </w:r>
          </w:p>
        </w:tc>
        <w:tc>
          <w:tcPr>
            <w:tcW w:w="1946" w:type="dxa"/>
            <w:tcBorders>
              <w:bottom w:val="single" w:sz="4" w:space="0" w:color="auto"/>
            </w:tcBorders>
          </w:tcPr>
          <w:p w:rsidR="00961D62" w:rsidRPr="00FE645E" w:rsidRDefault="00961D62" w:rsidP="00F95BA6">
            <w:pPr>
              <w:spacing w:after="0"/>
              <w:jc w:val="both"/>
              <w:rPr>
                <w:rFonts w:ascii="Garamond" w:hAnsi="Garamond" w:cs="Arial"/>
                <w:sz w:val="24"/>
                <w:szCs w:val="24"/>
              </w:rPr>
            </w:pPr>
          </w:p>
        </w:tc>
      </w:tr>
    </w:tbl>
    <w:p w:rsidR="00961D62" w:rsidRPr="00FE645E" w:rsidRDefault="00961D62" w:rsidP="00961D62">
      <w:pPr>
        <w:shd w:val="clear" w:color="auto" w:fill="FFFFFF"/>
        <w:spacing w:after="0"/>
        <w:ind w:left="-540" w:right="-270"/>
        <w:jc w:val="center"/>
        <w:rPr>
          <w:rFonts w:ascii="Garamond" w:eastAsia="Times New Roman" w:hAnsi="Garamond" w:cs="Arial"/>
          <w:b/>
          <w:color w:val="000000"/>
          <w:sz w:val="24"/>
          <w:szCs w:val="24"/>
        </w:rPr>
      </w:pPr>
    </w:p>
    <w:p w:rsidR="00961D62" w:rsidRPr="00FE645E" w:rsidRDefault="004600E6" w:rsidP="00D93EEA">
      <w:pPr>
        <w:pStyle w:val="Heading9"/>
        <w:rPr>
          <w:rFonts w:ascii="Garamond" w:hAnsi="Garamond"/>
        </w:rPr>
      </w:pPr>
      <w:r w:rsidRPr="00FE645E">
        <w:rPr>
          <w:rFonts w:ascii="Garamond" w:hAnsi="Garamond"/>
        </w:rPr>
        <w:t>Remembering S.P. Sathe</w:t>
      </w:r>
    </w:p>
    <w:p w:rsidR="00961D62" w:rsidRPr="00FE645E" w:rsidRDefault="004600E6" w:rsidP="00961D62">
      <w:pPr>
        <w:jc w:val="center"/>
        <w:rPr>
          <w:rFonts w:ascii="Garamond" w:hAnsi="Garamond" w:cs="Times New Roman"/>
          <w:b/>
          <w:sz w:val="24"/>
          <w:szCs w:val="24"/>
          <w:u w:val="single"/>
        </w:rPr>
      </w:pPr>
      <w:r w:rsidRPr="00FE645E">
        <w:rPr>
          <w:rFonts w:ascii="Garamond" w:hAnsi="Garamond" w:cs="Times New Roman"/>
          <w:b/>
          <w:sz w:val="24"/>
          <w:szCs w:val="24"/>
        </w:rPr>
        <w:t>Symposium On Current Trends In Indian Criminal Justice System</w:t>
      </w:r>
    </w:p>
    <w:p w:rsidR="00961D62" w:rsidRPr="00FE645E" w:rsidRDefault="004600E6" w:rsidP="00961D62">
      <w:pPr>
        <w:shd w:val="clear" w:color="auto" w:fill="FFFFFF"/>
        <w:ind w:left="-540" w:right="-270"/>
        <w:jc w:val="center"/>
        <w:rPr>
          <w:rFonts w:ascii="Garamond" w:hAnsi="Garamond"/>
          <w:sz w:val="24"/>
          <w:szCs w:val="24"/>
        </w:rPr>
      </w:pPr>
      <w:r w:rsidRPr="00FE645E">
        <w:rPr>
          <w:rFonts w:ascii="Garamond" w:eastAsia="Times New Roman" w:hAnsi="Garamond" w:cs="Arial"/>
          <w:b/>
          <w:smallCaps/>
          <w:color w:val="000000"/>
          <w:sz w:val="24"/>
          <w:szCs w:val="24"/>
        </w:rPr>
        <w:t xml:space="preserve">13- 14 </w:t>
      </w:r>
      <w:r w:rsidR="00D93EEA" w:rsidRPr="00FE645E">
        <w:rPr>
          <w:rFonts w:ascii="Garamond" w:hAnsi="Garamond" w:cs="Arial"/>
          <w:b/>
          <w:sz w:val="24"/>
          <w:szCs w:val="24"/>
        </w:rPr>
        <w:t>February</w:t>
      </w:r>
      <w:r w:rsidR="00B5254E" w:rsidRPr="00FE645E">
        <w:rPr>
          <w:rFonts w:ascii="Garamond" w:hAnsi="Garamond" w:cs="Arial"/>
          <w:b/>
          <w:sz w:val="24"/>
          <w:szCs w:val="24"/>
        </w:rPr>
        <w:t xml:space="preserve"> </w:t>
      </w:r>
      <w:r w:rsidR="00D93EEA" w:rsidRPr="00FE645E">
        <w:rPr>
          <w:rFonts w:ascii="Garamond" w:hAnsi="Garamond" w:cs="Arial"/>
          <w:b/>
          <w:sz w:val="24"/>
          <w:szCs w:val="24"/>
        </w:rPr>
        <w:t>2016</w:t>
      </w:r>
    </w:p>
    <w:p w:rsidR="00961D62" w:rsidRPr="00FE645E" w:rsidRDefault="00961D62" w:rsidP="00961D62">
      <w:pPr>
        <w:shd w:val="clear" w:color="auto" w:fill="FFFFFF"/>
        <w:spacing w:after="0" w:line="360" w:lineRule="auto"/>
        <w:jc w:val="both"/>
        <w:rPr>
          <w:rFonts w:ascii="Garamond" w:hAnsi="Garamond"/>
          <w:sz w:val="24"/>
          <w:szCs w:val="24"/>
        </w:rPr>
      </w:pPr>
      <w:r w:rsidRPr="00FE645E">
        <w:rPr>
          <w:rFonts w:ascii="Garamond" w:hAnsi="Garamond"/>
          <w:sz w:val="24"/>
          <w:szCs w:val="24"/>
        </w:rPr>
        <w:t>Professor S.P. Sathe Foundation, set up by the Indian Law Society organizes three events annually at ILS Law College, Pune on a particular theme to commemorate the contribution of Professor S.P. Sathe to Indian Jurisprudence and Social Action and to encourage academic pursuit of law students and law teachers. The three events are: a National Moot Court Competition, a Memorial Lecture and a Conference.</w:t>
      </w:r>
    </w:p>
    <w:p w:rsidR="00961D62" w:rsidRPr="00FE645E" w:rsidRDefault="00961D62" w:rsidP="00D93EEA">
      <w:pPr>
        <w:pStyle w:val="Heading9"/>
        <w:jc w:val="left"/>
        <w:rPr>
          <w:rFonts w:ascii="Garamond" w:eastAsiaTheme="minorEastAsia" w:hAnsi="Garamond" w:cstheme="minorBidi"/>
          <w:b w:val="0"/>
        </w:rPr>
      </w:pPr>
    </w:p>
    <w:p w:rsidR="00961D62" w:rsidRPr="00FE645E" w:rsidRDefault="00961D62" w:rsidP="00D93EEA">
      <w:pPr>
        <w:pStyle w:val="Heading9"/>
        <w:jc w:val="left"/>
        <w:rPr>
          <w:rFonts w:ascii="Garamond" w:eastAsiaTheme="minorEastAsia" w:hAnsi="Garamond" w:cstheme="minorBidi"/>
        </w:rPr>
      </w:pPr>
      <w:r w:rsidRPr="00FE645E">
        <w:rPr>
          <w:rFonts w:ascii="Garamond" w:eastAsiaTheme="minorEastAsia" w:hAnsi="Garamond" w:cstheme="minorBidi"/>
        </w:rPr>
        <w:t>Theme</w:t>
      </w:r>
    </w:p>
    <w:p w:rsidR="00961D62" w:rsidRPr="00FE645E" w:rsidRDefault="00961D62" w:rsidP="00961D62">
      <w:pPr>
        <w:shd w:val="clear" w:color="auto" w:fill="FFFFFF"/>
        <w:spacing w:after="0" w:line="360" w:lineRule="auto"/>
        <w:jc w:val="both"/>
        <w:rPr>
          <w:rFonts w:ascii="Garamond" w:hAnsi="Garamond"/>
          <w:sz w:val="24"/>
          <w:szCs w:val="24"/>
        </w:rPr>
      </w:pPr>
      <w:r w:rsidRPr="00FE645E">
        <w:rPr>
          <w:rFonts w:ascii="Garamond" w:hAnsi="Garamond"/>
          <w:sz w:val="24"/>
          <w:szCs w:val="24"/>
        </w:rPr>
        <w:t>The Remembering S.P. Sathe Symposium on Current Trends in Indian Criminal Justice System, 2016 is being organised to discuss the increasing relevance and impact of Criminal Law and the road map ahead in India.Thus, the theme for this year's event is:</w:t>
      </w:r>
    </w:p>
    <w:p w:rsidR="00961D62" w:rsidRPr="00FE645E" w:rsidRDefault="00961D62" w:rsidP="00961D62">
      <w:pPr>
        <w:shd w:val="clear" w:color="auto" w:fill="FFFFFF"/>
        <w:spacing w:after="0" w:line="360" w:lineRule="auto"/>
        <w:jc w:val="center"/>
        <w:rPr>
          <w:rFonts w:ascii="Garamond" w:hAnsi="Garamond"/>
          <w:b/>
          <w:sz w:val="24"/>
          <w:szCs w:val="24"/>
        </w:rPr>
      </w:pPr>
      <w:r w:rsidRPr="00FE645E">
        <w:rPr>
          <w:rFonts w:ascii="Garamond" w:hAnsi="Garamond"/>
          <w:b/>
          <w:sz w:val="24"/>
          <w:szCs w:val="24"/>
        </w:rPr>
        <w:t>“Administration of Criminal Justice”</w:t>
      </w:r>
    </w:p>
    <w:p w:rsidR="00587D81" w:rsidRPr="00FE645E" w:rsidRDefault="00587D81" w:rsidP="00D93EEA">
      <w:pPr>
        <w:pStyle w:val="Heading9"/>
        <w:jc w:val="left"/>
        <w:rPr>
          <w:rFonts w:ascii="Garamond" w:hAnsi="Garamond"/>
        </w:rPr>
      </w:pPr>
    </w:p>
    <w:p w:rsidR="00961D62" w:rsidRPr="00FE645E" w:rsidRDefault="00961D62" w:rsidP="00D93EEA">
      <w:pPr>
        <w:pStyle w:val="Heading9"/>
        <w:jc w:val="left"/>
        <w:rPr>
          <w:rFonts w:ascii="Garamond" w:hAnsi="Garamond"/>
        </w:rPr>
      </w:pPr>
      <w:r w:rsidRPr="00FE645E">
        <w:rPr>
          <w:rFonts w:ascii="Garamond" w:hAnsi="Garamond"/>
        </w:rPr>
        <w:t xml:space="preserve">A </w:t>
      </w:r>
      <w:r w:rsidR="004600E6" w:rsidRPr="00FE645E">
        <w:rPr>
          <w:rFonts w:ascii="Garamond" w:hAnsi="Garamond"/>
        </w:rPr>
        <w:t xml:space="preserve">Word </w:t>
      </w:r>
      <w:r w:rsidR="00813464" w:rsidRPr="00FE645E">
        <w:rPr>
          <w:rFonts w:ascii="Garamond" w:hAnsi="Garamond"/>
        </w:rPr>
        <w:t>In</w:t>
      </w:r>
      <w:r w:rsidR="004600E6" w:rsidRPr="00FE645E">
        <w:rPr>
          <w:rFonts w:ascii="Garamond" w:hAnsi="Garamond"/>
        </w:rPr>
        <w:t xml:space="preserve"> Elucidation</w:t>
      </w:r>
    </w:p>
    <w:p w:rsidR="00961D62" w:rsidRPr="00FE645E" w:rsidRDefault="00961D62" w:rsidP="00961D62">
      <w:pPr>
        <w:shd w:val="clear" w:color="auto" w:fill="FFFFFF"/>
        <w:spacing w:after="0" w:line="360" w:lineRule="auto"/>
        <w:jc w:val="both"/>
        <w:rPr>
          <w:rFonts w:ascii="Garamond" w:eastAsia="Times New Roman" w:hAnsi="Garamond" w:cs="Arial"/>
          <w:color w:val="000000"/>
          <w:sz w:val="24"/>
          <w:szCs w:val="24"/>
        </w:rPr>
      </w:pPr>
      <w:r w:rsidRPr="00FE645E">
        <w:rPr>
          <w:rFonts w:ascii="Garamond" w:hAnsi="Garamond"/>
          <w:sz w:val="24"/>
          <w:szCs w:val="24"/>
        </w:rPr>
        <w:t>The Criminal Justice System was established centuries ago for the purpose of defining and controlling crime and to impose punishment or “</w:t>
      </w:r>
      <w:r w:rsidRPr="00FE645E">
        <w:rPr>
          <w:rFonts w:ascii="Garamond" w:hAnsi="Garamond"/>
          <w:i/>
          <w:sz w:val="24"/>
          <w:szCs w:val="24"/>
        </w:rPr>
        <w:t>danda</w:t>
      </w:r>
      <w:r w:rsidRPr="00FE645E">
        <w:rPr>
          <w:rFonts w:ascii="Garamond" w:hAnsi="Garamond"/>
          <w:sz w:val="24"/>
          <w:szCs w:val="24"/>
        </w:rPr>
        <w:t xml:space="preserve">” upon the violation of established rules. The basic pillars of the criminal justice system are the police, detection and investigation agencies, the prosecution and the defence lawyers, the judiciary and executing agency, </w:t>
      </w:r>
      <w:r w:rsidRPr="00FE645E">
        <w:rPr>
          <w:rFonts w:ascii="Garamond" w:eastAsia="Times New Roman" w:hAnsi="Garamond" w:cs="Arial"/>
          <w:color w:val="000000"/>
          <w:sz w:val="24"/>
          <w:szCs w:val="24"/>
        </w:rPr>
        <w:t>each playing a vital role in the entire process of administration of criminal justice. It is w</w:t>
      </w:r>
      <w:r w:rsidRPr="00FE645E">
        <w:rPr>
          <w:rFonts w:ascii="Garamond" w:hAnsi="Garamond"/>
          <w:sz w:val="24"/>
          <w:szCs w:val="24"/>
        </w:rPr>
        <w:t xml:space="preserve">ithout these pillars, the criminal justice system would be in shambles. </w:t>
      </w:r>
    </w:p>
    <w:p w:rsidR="00961D62" w:rsidRPr="00FE645E" w:rsidRDefault="00961D62" w:rsidP="00961D62">
      <w:pPr>
        <w:shd w:val="clear" w:color="auto" w:fill="FFFFFF"/>
        <w:spacing w:after="0" w:line="360" w:lineRule="auto"/>
        <w:jc w:val="both"/>
        <w:rPr>
          <w:rFonts w:ascii="Garamond" w:eastAsia="Times New Roman" w:hAnsi="Garamond" w:cs="Arial"/>
          <w:color w:val="000000"/>
          <w:sz w:val="24"/>
          <w:szCs w:val="24"/>
        </w:rPr>
      </w:pPr>
    </w:p>
    <w:p w:rsidR="00961D62" w:rsidRPr="00FE645E" w:rsidRDefault="00961D62" w:rsidP="00961D62">
      <w:pPr>
        <w:shd w:val="clear" w:color="auto" w:fill="FFFFFF"/>
        <w:spacing w:after="0" w:line="360" w:lineRule="auto"/>
        <w:jc w:val="both"/>
        <w:rPr>
          <w:rFonts w:ascii="Garamond" w:hAnsi="Garamond"/>
          <w:sz w:val="24"/>
          <w:szCs w:val="24"/>
        </w:rPr>
      </w:pPr>
      <w:r w:rsidRPr="00FE645E">
        <w:rPr>
          <w:rFonts w:ascii="Garamond" w:hAnsi="Garamond"/>
          <w:sz w:val="24"/>
          <w:szCs w:val="24"/>
        </w:rPr>
        <w:t>The sequence of events in the criminal justice process begins from when the crime is observed or reported. The process may vary according to the jurisdiction, the seriousness of the crime, whether the accused is a juvenile or an adult, and other relevant factors. Not every case will include all these steps, and not all cases directly follow this sequence. Many crimes are never prosecuted because they are not reported or no suspects can be identified or the available evidence is not adequate for the prosecutor to build a case as per the required standard of burden of proof.</w:t>
      </w:r>
    </w:p>
    <w:p w:rsidR="00961D62" w:rsidRPr="00FE645E" w:rsidRDefault="00961D62" w:rsidP="00961D62">
      <w:pPr>
        <w:shd w:val="clear" w:color="auto" w:fill="FFFFFF"/>
        <w:spacing w:after="0" w:line="360" w:lineRule="auto"/>
        <w:jc w:val="both"/>
        <w:rPr>
          <w:rFonts w:ascii="Garamond" w:hAnsi="Garamond"/>
          <w:sz w:val="24"/>
          <w:szCs w:val="24"/>
        </w:rPr>
      </w:pPr>
    </w:p>
    <w:p w:rsidR="00961D62" w:rsidRPr="00FE645E" w:rsidRDefault="00961D62" w:rsidP="00961D62">
      <w:pPr>
        <w:shd w:val="clear" w:color="auto" w:fill="FFFFFF"/>
        <w:spacing w:after="0" w:line="360" w:lineRule="auto"/>
        <w:jc w:val="both"/>
        <w:rPr>
          <w:rFonts w:ascii="Garamond" w:hAnsi="Garamond"/>
          <w:sz w:val="24"/>
          <w:szCs w:val="24"/>
        </w:rPr>
      </w:pPr>
      <w:r w:rsidRPr="00FE645E">
        <w:rPr>
          <w:rFonts w:ascii="Garamond" w:hAnsi="Garamond"/>
          <w:sz w:val="24"/>
          <w:szCs w:val="24"/>
        </w:rPr>
        <w:t xml:space="preserve">This symposium aims to shed light upon the experiences and challenges faced by the various facets of the criminal administrative setup namely the investigating officers, prosecution and defence lawyers and the judges at various levels in the hierarchy of our judiciary in the pre-trial, trial and post-trial stages. The Symposium will deliberate upon the future guidelines by analysing these difficulties to achieve a much stronger and efficient criminal justice system. </w:t>
      </w:r>
    </w:p>
    <w:p w:rsidR="00C15027" w:rsidRDefault="00C15027" w:rsidP="00D93EEA">
      <w:pPr>
        <w:pStyle w:val="Heading9"/>
        <w:jc w:val="left"/>
      </w:pPr>
    </w:p>
    <w:p w:rsidR="00C15027" w:rsidRDefault="00C15027" w:rsidP="00D93EEA">
      <w:pPr>
        <w:pStyle w:val="Heading9"/>
        <w:jc w:val="left"/>
      </w:pPr>
    </w:p>
    <w:p w:rsidR="00D93EEA" w:rsidRDefault="00D93EEA" w:rsidP="00D93EEA">
      <w:pPr>
        <w:shd w:val="clear" w:color="auto" w:fill="FFFFFF"/>
        <w:spacing w:after="0"/>
        <w:rPr>
          <w:rFonts w:ascii="Arial" w:eastAsia="Times New Roman" w:hAnsi="Arial" w:cs="Arial"/>
          <w:color w:val="000000"/>
          <w:sz w:val="20"/>
          <w:szCs w:val="20"/>
        </w:rPr>
      </w:pPr>
    </w:p>
    <w:p w:rsidR="0002591A" w:rsidRDefault="0002591A" w:rsidP="00D93EEA">
      <w:pPr>
        <w:shd w:val="clear" w:color="auto" w:fill="FFFFFF"/>
        <w:spacing w:after="0"/>
        <w:rPr>
          <w:rFonts w:ascii="Arial" w:eastAsia="Times New Roman" w:hAnsi="Arial" w:cs="Arial"/>
          <w:color w:val="000000"/>
          <w:sz w:val="20"/>
          <w:szCs w:val="20"/>
        </w:rPr>
      </w:pPr>
    </w:p>
    <w:p w:rsidR="0002591A" w:rsidRDefault="0002591A" w:rsidP="00D93EEA">
      <w:pPr>
        <w:shd w:val="clear" w:color="auto" w:fill="FFFFFF"/>
        <w:spacing w:after="0"/>
        <w:rPr>
          <w:rFonts w:ascii="Arial" w:eastAsia="Times New Roman" w:hAnsi="Arial" w:cs="Arial"/>
          <w:color w:val="000000"/>
          <w:sz w:val="20"/>
          <w:szCs w:val="20"/>
        </w:rPr>
      </w:pPr>
    </w:p>
    <w:p w:rsidR="0002591A" w:rsidRDefault="0002591A" w:rsidP="00D93EEA">
      <w:pPr>
        <w:shd w:val="clear" w:color="auto" w:fill="FFFFFF"/>
        <w:spacing w:after="0"/>
        <w:rPr>
          <w:rFonts w:ascii="Arial" w:eastAsia="Times New Roman" w:hAnsi="Arial" w:cs="Arial"/>
          <w:color w:val="000000"/>
          <w:sz w:val="20"/>
          <w:szCs w:val="20"/>
        </w:rPr>
      </w:pPr>
    </w:p>
    <w:p w:rsidR="0002591A" w:rsidRPr="00FE645E" w:rsidRDefault="0002591A" w:rsidP="0002591A">
      <w:pPr>
        <w:pStyle w:val="Heading9"/>
        <w:jc w:val="left"/>
        <w:rPr>
          <w:rFonts w:ascii="Garamond" w:hAnsi="Garamond"/>
          <w:u w:val="single"/>
        </w:rPr>
      </w:pPr>
      <w:r w:rsidRPr="00FE645E">
        <w:rPr>
          <w:rFonts w:ascii="Garamond" w:hAnsi="Garamond"/>
          <w:u w:val="single"/>
        </w:rPr>
        <w:t>Schedule</w:t>
      </w:r>
    </w:p>
    <w:p w:rsidR="00FE645E" w:rsidRPr="00FE645E" w:rsidRDefault="00FE645E" w:rsidP="00FE645E">
      <w:pPr>
        <w:shd w:val="clear" w:color="auto" w:fill="FFFFFF"/>
        <w:spacing w:after="0"/>
        <w:rPr>
          <w:rFonts w:ascii="Garamond" w:eastAsia="Times New Roman" w:hAnsi="Garamond" w:cs="Arial"/>
          <w:b/>
          <w:bCs/>
          <w:color w:val="000000"/>
          <w:sz w:val="24"/>
          <w:szCs w:val="24"/>
          <w:u w:val="single"/>
        </w:rPr>
      </w:pPr>
      <w:r w:rsidRPr="00FE645E">
        <w:rPr>
          <w:rFonts w:ascii="Garamond" w:eastAsia="Times New Roman" w:hAnsi="Garamond" w:cs="Arial"/>
          <w:b/>
          <w:bCs/>
          <w:color w:val="000000"/>
          <w:sz w:val="24"/>
          <w:szCs w:val="24"/>
          <w:u w:val="single"/>
        </w:rPr>
        <w:t>Day 1 – 13</w:t>
      </w:r>
      <w:r w:rsidRPr="00FE645E">
        <w:rPr>
          <w:rFonts w:ascii="Garamond" w:eastAsia="Times New Roman" w:hAnsi="Garamond" w:cs="Arial"/>
          <w:b/>
          <w:bCs/>
          <w:color w:val="000000"/>
          <w:sz w:val="24"/>
          <w:szCs w:val="24"/>
          <w:u w:val="single"/>
          <w:vertAlign w:val="superscript"/>
        </w:rPr>
        <w:t>th</w:t>
      </w:r>
      <w:r w:rsidRPr="00FE645E">
        <w:rPr>
          <w:rFonts w:ascii="Garamond" w:eastAsia="Times New Roman" w:hAnsi="Garamond" w:cs="Arial"/>
          <w:b/>
          <w:bCs/>
          <w:color w:val="000000"/>
          <w:sz w:val="24"/>
          <w:szCs w:val="24"/>
          <w:u w:val="single"/>
        </w:rPr>
        <w:t xml:space="preserve"> February 2016, Saturday</w:t>
      </w:r>
    </w:p>
    <w:p w:rsidR="00FE645E" w:rsidRDefault="00FE645E" w:rsidP="00FE645E">
      <w:pPr>
        <w:pStyle w:val="ListParagraph"/>
        <w:spacing w:line="360" w:lineRule="auto"/>
        <w:ind w:left="0"/>
        <w:rPr>
          <w:rFonts w:ascii="Garamond" w:hAnsi="Garamond" w:cs="Arial"/>
          <w:b/>
          <w:bCs/>
          <w:sz w:val="24"/>
          <w:szCs w:val="24"/>
        </w:rPr>
      </w:pPr>
    </w:p>
    <w:p w:rsidR="00FE645E" w:rsidRPr="00FE645E" w:rsidRDefault="00FE645E" w:rsidP="00FE645E">
      <w:pPr>
        <w:pStyle w:val="ListParagraph"/>
        <w:spacing w:line="360" w:lineRule="auto"/>
        <w:ind w:left="0"/>
        <w:rPr>
          <w:rFonts w:ascii="Garamond" w:hAnsi="Garamond" w:cs="Arial"/>
          <w:b/>
          <w:sz w:val="24"/>
          <w:szCs w:val="24"/>
        </w:rPr>
      </w:pPr>
      <w:r w:rsidRPr="00FE645E">
        <w:rPr>
          <w:rFonts w:ascii="Garamond" w:hAnsi="Garamond" w:cs="Arial"/>
          <w:b/>
          <w:bCs/>
          <w:sz w:val="24"/>
          <w:szCs w:val="24"/>
        </w:rPr>
        <w:t xml:space="preserve">Key note </w:t>
      </w:r>
      <w:r w:rsidRPr="00FE645E">
        <w:rPr>
          <w:rFonts w:ascii="Garamond" w:hAnsi="Garamond" w:cs="Arial"/>
          <w:b/>
          <w:bCs/>
          <w:sz w:val="24"/>
          <w:szCs w:val="24"/>
        </w:rPr>
        <w:t>address -</w:t>
      </w:r>
      <w:r w:rsidRPr="00FE645E">
        <w:rPr>
          <w:rFonts w:ascii="Garamond" w:hAnsi="Garamond" w:cs="Arial"/>
          <w:b/>
          <w:bCs/>
          <w:sz w:val="24"/>
          <w:szCs w:val="24"/>
        </w:rPr>
        <w:t xml:space="preserve"> Hon’ble</w:t>
      </w:r>
      <w:r w:rsidRPr="00FE645E">
        <w:rPr>
          <w:rFonts w:ascii="Garamond" w:hAnsi="Garamond" w:cs="Arial"/>
          <w:b/>
          <w:bCs/>
          <w:sz w:val="24"/>
          <w:szCs w:val="24"/>
        </w:rPr>
        <w:t xml:space="preserve"> Mr.</w:t>
      </w:r>
      <w:r w:rsidRPr="00FE645E">
        <w:rPr>
          <w:rFonts w:ascii="Garamond" w:hAnsi="Garamond" w:cs="Arial"/>
          <w:b/>
          <w:bCs/>
          <w:sz w:val="24"/>
          <w:szCs w:val="24"/>
        </w:rPr>
        <w:t xml:space="preserve"> Justice Uday Lalit, Supreme Court of India</w:t>
      </w:r>
    </w:p>
    <w:p w:rsidR="00FE645E" w:rsidRDefault="00FE645E" w:rsidP="00FE645E">
      <w:pPr>
        <w:pStyle w:val="Heading9"/>
        <w:spacing w:line="360" w:lineRule="auto"/>
        <w:jc w:val="left"/>
        <w:rPr>
          <w:rFonts w:ascii="Garamond" w:hAnsi="Garamond" w:cs="Arial"/>
        </w:rPr>
      </w:pPr>
      <w:r w:rsidRPr="00FE645E">
        <w:rPr>
          <w:rFonts w:ascii="Garamond" w:hAnsi="Garamond"/>
        </w:rPr>
        <w:t xml:space="preserve">Session I - </w:t>
      </w:r>
      <w:r w:rsidRPr="00FE645E">
        <w:rPr>
          <w:rFonts w:ascii="Garamond" w:hAnsi="Garamond" w:cs="Arial"/>
        </w:rPr>
        <w:t>Corporate Criminal Liability’ – The Blame Game</w:t>
      </w:r>
    </w:p>
    <w:p w:rsidR="00FE645E" w:rsidRPr="00FE645E" w:rsidRDefault="00FE645E" w:rsidP="00FE645E">
      <w:pPr>
        <w:pStyle w:val="Heading9"/>
        <w:spacing w:line="360" w:lineRule="auto"/>
        <w:jc w:val="left"/>
        <w:rPr>
          <w:rFonts w:ascii="Garamond" w:hAnsi="Garamond" w:cs="Arial"/>
        </w:rPr>
      </w:pPr>
      <w:bookmarkStart w:id="0" w:name="_GoBack"/>
      <w:bookmarkEnd w:id="0"/>
      <w:r w:rsidRPr="00FE645E">
        <w:rPr>
          <w:rFonts w:ascii="Garamond" w:hAnsi="Garamond" w:cs="Arial"/>
        </w:rPr>
        <w:t>Session II</w:t>
      </w:r>
      <w:r w:rsidRPr="00FE645E">
        <w:rPr>
          <w:rFonts w:ascii="Garamond" w:hAnsi="Garamond" w:cs="Arial"/>
          <w:b w:val="0"/>
        </w:rPr>
        <w:t xml:space="preserve"> - </w:t>
      </w:r>
      <w:r w:rsidRPr="00FE645E">
        <w:rPr>
          <w:rFonts w:ascii="Garamond" w:hAnsi="Garamond" w:cs="Arial"/>
        </w:rPr>
        <w:t>‘Atlas’ of Administration of Criminal Justice- Investigating Agencies</w:t>
      </w:r>
    </w:p>
    <w:p w:rsidR="00FE645E" w:rsidRPr="00FE645E" w:rsidRDefault="00FE645E" w:rsidP="00FE645E">
      <w:pPr>
        <w:shd w:val="clear" w:color="auto" w:fill="FFFFFF"/>
        <w:spacing w:after="0"/>
        <w:rPr>
          <w:rFonts w:ascii="Garamond" w:eastAsia="Times New Roman" w:hAnsi="Garamond" w:cs="Arial"/>
          <w:b/>
          <w:bCs/>
          <w:color w:val="000000"/>
          <w:sz w:val="24"/>
          <w:szCs w:val="24"/>
          <w:u w:val="single"/>
        </w:rPr>
      </w:pPr>
      <w:r w:rsidRPr="00FE645E">
        <w:rPr>
          <w:rFonts w:ascii="Garamond" w:eastAsia="Times New Roman" w:hAnsi="Garamond" w:cs="Arial"/>
          <w:b/>
          <w:bCs/>
          <w:color w:val="000000"/>
          <w:sz w:val="24"/>
          <w:szCs w:val="24"/>
          <w:u w:val="single"/>
        </w:rPr>
        <w:t>Day 2 – 14</w:t>
      </w:r>
      <w:r w:rsidRPr="00FE645E">
        <w:rPr>
          <w:rFonts w:ascii="Garamond" w:eastAsia="Times New Roman" w:hAnsi="Garamond" w:cs="Arial"/>
          <w:b/>
          <w:bCs/>
          <w:color w:val="000000"/>
          <w:sz w:val="24"/>
          <w:szCs w:val="24"/>
          <w:u w:val="single"/>
          <w:vertAlign w:val="superscript"/>
        </w:rPr>
        <w:t>th</w:t>
      </w:r>
      <w:r w:rsidRPr="00FE645E">
        <w:rPr>
          <w:rFonts w:ascii="Garamond" w:eastAsia="Times New Roman" w:hAnsi="Garamond" w:cs="Arial"/>
          <w:b/>
          <w:bCs/>
          <w:color w:val="000000"/>
          <w:sz w:val="24"/>
          <w:szCs w:val="24"/>
          <w:u w:val="single"/>
        </w:rPr>
        <w:t xml:space="preserve"> February 2016, Sunday</w:t>
      </w:r>
    </w:p>
    <w:p w:rsidR="00FE645E" w:rsidRPr="00FE645E" w:rsidRDefault="00FE645E" w:rsidP="00FE645E">
      <w:pPr>
        <w:shd w:val="clear" w:color="auto" w:fill="FFFFFF"/>
        <w:spacing w:after="0"/>
        <w:rPr>
          <w:rFonts w:ascii="Garamond" w:eastAsia="Times New Roman" w:hAnsi="Garamond" w:cs="Arial"/>
          <w:b/>
          <w:bCs/>
          <w:color w:val="000000"/>
          <w:sz w:val="24"/>
          <w:szCs w:val="24"/>
        </w:rPr>
      </w:pPr>
    </w:p>
    <w:p w:rsidR="00FE645E" w:rsidRPr="00FE645E" w:rsidRDefault="00FE645E" w:rsidP="00FE645E">
      <w:pPr>
        <w:pStyle w:val="ListParagraph"/>
        <w:spacing w:line="360" w:lineRule="auto"/>
        <w:ind w:left="0"/>
        <w:rPr>
          <w:rFonts w:ascii="Garamond" w:hAnsi="Garamond" w:cs="Arial"/>
          <w:b/>
          <w:sz w:val="24"/>
          <w:szCs w:val="24"/>
        </w:rPr>
      </w:pPr>
      <w:r w:rsidRPr="00FE645E">
        <w:rPr>
          <w:rFonts w:ascii="Garamond" w:hAnsi="Garamond" w:cs="Arial"/>
          <w:b/>
          <w:sz w:val="24"/>
          <w:szCs w:val="24"/>
        </w:rPr>
        <w:t>Session III</w:t>
      </w:r>
      <w:r w:rsidRPr="00FE645E">
        <w:rPr>
          <w:rFonts w:ascii="Garamond" w:hAnsi="Garamond" w:cs="Arial"/>
          <w:b/>
          <w:sz w:val="24"/>
          <w:szCs w:val="24"/>
        </w:rPr>
        <w:t xml:space="preserve"> - </w:t>
      </w:r>
      <w:r w:rsidRPr="00FE645E">
        <w:rPr>
          <w:rFonts w:ascii="Garamond" w:hAnsi="Garamond" w:cs="Arial"/>
          <w:b/>
          <w:sz w:val="24"/>
          <w:szCs w:val="24"/>
        </w:rPr>
        <w:t>Hitting the nail on the head’ – Appreciation of evidence</w:t>
      </w:r>
    </w:p>
    <w:p w:rsidR="00FE645E" w:rsidRPr="00FE645E" w:rsidRDefault="00FE645E" w:rsidP="00FE645E">
      <w:pPr>
        <w:pStyle w:val="ListParagraph"/>
        <w:spacing w:line="360" w:lineRule="auto"/>
        <w:ind w:left="0"/>
        <w:rPr>
          <w:rFonts w:ascii="Garamond" w:hAnsi="Garamond" w:cs="Arial"/>
          <w:b/>
          <w:sz w:val="24"/>
          <w:szCs w:val="24"/>
        </w:rPr>
      </w:pPr>
      <w:r w:rsidRPr="00FE645E">
        <w:rPr>
          <w:rFonts w:ascii="Garamond" w:hAnsi="Garamond" w:cs="Arial"/>
          <w:b/>
          <w:sz w:val="24"/>
          <w:szCs w:val="24"/>
        </w:rPr>
        <w:t xml:space="preserve">Session IV - </w:t>
      </w:r>
      <w:r w:rsidRPr="00FE645E">
        <w:rPr>
          <w:rFonts w:ascii="Garamond" w:hAnsi="Garamond" w:cs="Arial"/>
          <w:b/>
          <w:sz w:val="24"/>
          <w:szCs w:val="24"/>
        </w:rPr>
        <w:t>‘Hitting the nail on the head’ – Appreciation of evidence</w:t>
      </w:r>
    </w:p>
    <w:p w:rsidR="00FE645E" w:rsidRPr="00FE645E" w:rsidRDefault="00FE645E" w:rsidP="00FE645E">
      <w:pPr>
        <w:pStyle w:val="ListParagraph"/>
        <w:spacing w:line="360" w:lineRule="auto"/>
        <w:ind w:left="0"/>
        <w:rPr>
          <w:rFonts w:ascii="Garamond" w:hAnsi="Garamond" w:cs="Arial"/>
          <w:b/>
          <w:sz w:val="24"/>
          <w:szCs w:val="24"/>
        </w:rPr>
      </w:pPr>
      <w:r w:rsidRPr="00FE645E">
        <w:rPr>
          <w:rFonts w:ascii="Garamond" w:hAnsi="Garamond" w:cs="Arial"/>
          <w:b/>
          <w:sz w:val="24"/>
          <w:szCs w:val="24"/>
        </w:rPr>
        <w:t xml:space="preserve">Session </w:t>
      </w:r>
      <w:r w:rsidRPr="00FE645E">
        <w:rPr>
          <w:rFonts w:ascii="Garamond" w:hAnsi="Garamond" w:cs="Arial"/>
          <w:b/>
          <w:sz w:val="24"/>
          <w:szCs w:val="24"/>
        </w:rPr>
        <w:t xml:space="preserve">V </w:t>
      </w:r>
      <w:r w:rsidRPr="00FE645E">
        <w:rPr>
          <w:rFonts w:ascii="Garamond" w:hAnsi="Garamond" w:cs="Arial"/>
          <w:b/>
          <w:sz w:val="24"/>
          <w:szCs w:val="24"/>
        </w:rPr>
        <w:t xml:space="preserve">- </w:t>
      </w:r>
      <w:r w:rsidRPr="00FE645E">
        <w:rPr>
          <w:rFonts w:ascii="Garamond" w:hAnsi="Garamond" w:cs="Arial"/>
          <w:b/>
          <w:sz w:val="24"/>
          <w:szCs w:val="24"/>
        </w:rPr>
        <w:t>Sentencing- Roadmap for the future – Panel Discussion</w:t>
      </w:r>
    </w:p>
    <w:p w:rsidR="00FE645E" w:rsidRPr="00FE645E" w:rsidRDefault="00FE645E" w:rsidP="00FE645E">
      <w:pPr>
        <w:pStyle w:val="ListParagraph"/>
        <w:spacing w:line="360" w:lineRule="auto"/>
        <w:ind w:left="0"/>
        <w:rPr>
          <w:rFonts w:ascii="Garamond" w:hAnsi="Garamond" w:cs="Arial"/>
          <w:b/>
          <w:sz w:val="24"/>
          <w:szCs w:val="24"/>
        </w:rPr>
      </w:pPr>
      <w:r w:rsidRPr="00FE645E">
        <w:rPr>
          <w:rFonts w:ascii="Garamond" w:hAnsi="Garamond" w:cs="Arial"/>
          <w:b/>
          <w:sz w:val="24"/>
          <w:szCs w:val="24"/>
        </w:rPr>
        <w:t>S.P. Sathe Memorial Lecture</w:t>
      </w:r>
      <w:r w:rsidRPr="00FE645E">
        <w:rPr>
          <w:rFonts w:ascii="Garamond" w:hAnsi="Garamond" w:cs="Arial"/>
          <w:b/>
          <w:sz w:val="24"/>
          <w:szCs w:val="24"/>
        </w:rPr>
        <w:t xml:space="preserve"> - </w:t>
      </w:r>
      <w:r w:rsidRPr="00FE645E">
        <w:rPr>
          <w:rFonts w:ascii="Garamond" w:hAnsi="Garamond" w:cs="Arial"/>
          <w:b/>
          <w:bCs/>
          <w:sz w:val="24"/>
          <w:szCs w:val="24"/>
        </w:rPr>
        <w:t>Mr.</w:t>
      </w:r>
      <w:r w:rsidRPr="00FE645E">
        <w:rPr>
          <w:rFonts w:ascii="Garamond" w:hAnsi="Garamond" w:cs="Arial"/>
          <w:b/>
          <w:bCs/>
          <w:sz w:val="24"/>
          <w:szCs w:val="24"/>
        </w:rPr>
        <w:t xml:space="preserve"> </w:t>
      </w:r>
      <w:r w:rsidRPr="00FE645E">
        <w:rPr>
          <w:rFonts w:ascii="Garamond" w:hAnsi="Garamond" w:cs="Arial"/>
          <w:b/>
          <w:sz w:val="24"/>
          <w:szCs w:val="24"/>
        </w:rPr>
        <w:t xml:space="preserve">Justice B.N. Srikrishna, Former Judge, Supreme Court </w:t>
      </w:r>
    </w:p>
    <w:p w:rsidR="00FE645E" w:rsidRDefault="00FE645E" w:rsidP="00FE645E">
      <w:pPr>
        <w:pStyle w:val="ListParagraph"/>
        <w:ind w:left="0"/>
        <w:rPr>
          <w:rFonts w:asciiTheme="minorHAnsi" w:hAnsiTheme="minorHAnsi" w:cs="Arial"/>
          <w:b/>
          <w:sz w:val="24"/>
          <w:szCs w:val="24"/>
        </w:rPr>
      </w:pPr>
    </w:p>
    <w:p w:rsidR="00FE645E" w:rsidRDefault="00FE645E" w:rsidP="00FE645E">
      <w:pPr>
        <w:pStyle w:val="ListParagraph"/>
        <w:ind w:left="0"/>
        <w:rPr>
          <w:rFonts w:asciiTheme="minorHAnsi" w:hAnsiTheme="minorHAnsi" w:cs="Arial"/>
          <w:b/>
          <w:sz w:val="24"/>
          <w:szCs w:val="24"/>
        </w:rPr>
      </w:pPr>
    </w:p>
    <w:p w:rsidR="00FE645E" w:rsidRPr="00FE645E" w:rsidRDefault="00FE645E" w:rsidP="00FE645E">
      <w:pPr>
        <w:rPr>
          <w:rFonts w:cs="Arial"/>
          <w:sz w:val="24"/>
          <w:szCs w:val="24"/>
        </w:rPr>
      </w:pPr>
    </w:p>
    <w:p w:rsidR="00FE645E" w:rsidRDefault="00FE645E" w:rsidP="00FE645E">
      <w:pPr>
        <w:rPr>
          <w:rFonts w:cs="Arial"/>
          <w:b/>
          <w:sz w:val="24"/>
          <w:szCs w:val="24"/>
        </w:rPr>
      </w:pPr>
    </w:p>
    <w:p w:rsidR="00FE645E" w:rsidRDefault="00FE645E" w:rsidP="00FE645E">
      <w:pPr>
        <w:rPr>
          <w:rFonts w:cs="Arial"/>
          <w:b/>
          <w:sz w:val="24"/>
          <w:szCs w:val="24"/>
        </w:rPr>
      </w:pPr>
    </w:p>
    <w:p w:rsidR="00C15027" w:rsidRDefault="00C15027" w:rsidP="00C15027">
      <w:pPr>
        <w:shd w:val="clear" w:color="auto" w:fill="FFFFFF"/>
        <w:tabs>
          <w:tab w:val="left" w:pos="900"/>
        </w:tabs>
        <w:spacing w:after="0"/>
        <w:rPr>
          <w:rFonts w:ascii="Arial" w:eastAsia="Times New Roman" w:hAnsi="Arial" w:cs="Arial"/>
          <w:b/>
          <w:smallCaps/>
          <w:color w:val="000000"/>
          <w:sz w:val="20"/>
          <w:szCs w:val="20"/>
        </w:rPr>
      </w:pPr>
      <w:r>
        <w:rPr>
          <w:rFonts w:ascii="Arial" w:eastAsia="Times New Roman" w:hAnsi="Arial" w:cs="Arial"/>
          <w:b/>
          <w:smallCaps/>
          <w:color w:val="000000"/>
          <w:sz w:val="20"/>
          <w:szCs w:val="20"/>
        </w:rPr>
        <w:tab/>
      </w:r>
    </w:p>
    <w:tbl>
      <w:tblPr>
        <w:tblW w:w="5111" w:type="pct"/>
        <w:jc w:val="center"/>
        <w:tblLook w:val="04A0" w:firstRow="1" w:lastRow="0" w:firstColumn="1" w:lastColumn="0" w:noHBand="0" w:noVBand="1"/>
      </w:tblPr>
      <w:tblGrid>
        <w:gridCol w:w="3431"/>
        <w:gridCol w:w="4333"/>
        <w:gridCol w:w="3156"/>
      </w:tblGrid>
      <w:tr w:rsidR="00D93EEA" w:rsidRPr="00F1094F" w:rsidTr="00FF4461">
        <w:trPr>
          <w:trHeight w:val="1080"/>
          <w:jc w:val="center"/>
        </w:trPr>
        <w:tc>
          <w:tcPr>
            <w:tcW w:w="1571" w:type="pct"/>
            <w:shd w:val="clear" w:color="auto" w:fill="auto"/>
          </w:tcPr>
          <w:p w:rsidR="00D93EEA" w:rsidRPr="00FE645E" w:rsidRDefault="00D93EEA" w:rsidP="00FF4461">
            <w:pPr>
              <w:spacing w:after="0"/>
              <w:jc w:val="center"/>
              <w:rPr>
                <w:rFonts w:ascii="Garamond" w:eastAsia="Times New Roman" w:hAnsi="Garamond" w:cs="Arial"/>
                <w:b/>
                <w:smallCaps/>
                <w:color w:val="000000"/>
                <w:sz w:val="24"/>
                <w:szCs w:val="20"/>
                <w:u w:val="single"/>
              </w:rPr>
            </w:pPr>
            <w:r w:rsidRPr="00FE645E">
              <w:rPr>
                <w:rFonts w:ascii="Garamond" w:eastAsia="Times New Roman" w:hAnsi="Garamond" w:cs="Arial"/>
                <w:b/>
                <w:smallCaps/>
                <w:color w:val="000000"/>
                <w:sz w:val="24"/>
                <w:szCs w:val="20"/>
                <w:u w:val="single"/>
              </w:rPr>
              <w:t>Conference Email</w:t>
            </w:r>
          </w:p>
          <w:p w:rsidR="00D93EEA" w:rsidRPr="00FE645E" w:rsidRDefault="00D93EEA" w:rsidP="00FF4461">
            <w:pPr>
              <w:spacing w:after="0"/>
              <w:jc w:val="center"/>
              <w:rPr>
                <w:rFonts w:ascii="Garamond" w:eastAsia="Times New Roman" w:hAnsi="Garamond" w:cs="Arial"/>
                <w:color w:val="000000"/>
                <w:sz w:val="24"/>
                <w:szCs w:val="20"/>
              </w:rPr>
            </w:pPr>
          </w:p>
          <w:p w:rsidR="00D93EEA" w:rsidRPr="00FE645E" w:rsidRDefault="00D93EEA" w:rsidP="00FF4461">
            <w:pPr>
              <w:spacing w:after="0"/>
              <w:jc w:val="center"/>
              <w:rPr>
                <w:rFonts w:ascii="Garamond" w:eastAsia="Times New Roman" w:hAnsi="Garamond" w:cs="Arial"/>
                <w:color w:val="000000"/>
                <w:sz w:val="24"/>
                <w:szCs w:val="20"/>
              </w:rPr>
            </w:pPr>
            <w:r w:rsidRPr="00FE645E">
              <w:rPr>
                <w:rFonts w:ascii="Garamond" w:eastAsia="Times New Roman" w:hAnsi="Garamond" w:cs="Arial"/>
                <w:color w:val="000000"/>
                <w:sz w:val="24"/>
                <w:szCs w:val="20"/>
              </w:rPr>
              <w:t>spsatheconference@ilslaw.in</w:t>
            </w:r>
          </w:p>
        </w:tc>
        <w:tc>
          <w:tcPr>
            <w:tcW w:w="1984" w:type="pct"/>
            <w:shd w:val="clear" w:color="auto" w:fill="auto"/>
          </w:tcPr>
          <w:p w:rsidR="00D93EEA" w:rsidRPr="00FE645E" w:rsidRDefault="00D93EEA" w:rsidP="00FF4461">
            <w:pPr>
              <w:spacing w:after="0"/>
              <w:jc w:val="center"/>
              <w:rPr>
                <w:rFonts w:ascii="Garamond" w:eastAsia="Times New Roman" w:hAnsi="Garamond" w:cs="Arial"/>
                <w:b/>
                <w:smallCaps/>
                <w:color w:val="000000"/>
                <w:sz w:val="24"/>
                <w:szCs w:val="20"/>
                <w:u w:val="single"/>
              </w:rPr>
            </w:pPr>
            <w:r w:rsidRPr="00FE645E">
              <w:rPr>
                <w:rFonts w:ascii="Garamond" w:eastAsia="Times New Roman" w:hAnsi="Garamond" w:cs="Arial"/>
                <w:b/>
                <w:smallCaps/>
                <w:color w:val="000000"/>
                <w:sz w:val="24"/>
                <w:szCs w:val="20"/>
                <w:u w:val="single"/>
              </w:rPr>
              <w:t>Student Conveners</w:t>
            </w:r>
          </w:p>
          <w:p w:rsidR="00D93EEA" w:rsidRPr="00FE645E" w:rsidRDefault="00D93EEA" w:rsidP="00FF4461">
            <w:pPr>
              <w:spacing w:after="0" w:line="240" w:lineRule="auto"/>
              <w:jc w:val="center"/>
              <w:rPr>
                <w:rFonts w:ascii="Garamond" w:eastAsia="Times New Roman" w:hAnsi="Garamond" w:cs="Arial"/>
                <w:smallCaps/>
                <w:color w:val="000000"/>
                <w:sz w:val="24"/>
                <w:szCs w:val="20"/>
              </w:rPr>
            </w:pPr>
          </w:p>
          <w:p w:rsidR="00D93EEA" w:rsidRPr="00FE645E" w:rsidRDefault="00D93EEA" w:rsidP="00FF4461">
            <w:pPr>
              <w:spacing w:after="0" w:line="240" w:lineRule="auto"/>
              <w:jc w:val="center"/>
              <w:rPr>
                <w:rFonts w:ascii="Garamond" w:eastAsia="Times New Roman" w:hAnsi="Garamond" w:cs="Arial"/>
                <w:smallCaps/>
                <w:color w:val="000000"/>
                <w:sz w:val="24"/>
                <w:szCs w:val="20"/>
              </w:rPr>
            </w:pPr>
            <w:r w:rsidRPr="00FE645E">
              <w:rPr>
                <w:rFonts w:ascii="Garamond" w:eastAsia="Times New Roman" w:hAnsi="Garamond" w:cs="Arial"/>
                <w:smallCaps/>
                <w:color w:val="000000"/>
                <w:sz w:val="24"/>
                <w:szCs w:val="20"/>
              </w:rPr>
              <w:t>Daksha Chouksey</w:t>
            </w:r>
          </w:p>
          <w:p w:rsidR="00D93EEA" w:rsidRPr="00FE645E" w:rsidRDefault="00D93EEA" w:rsidP="00FF4461">
            <w:pPr>
              <w:spacing w:after="0" w:line="240" w:lineRule="auto"/>
              <w:jc w:val="center"/>
              <w:rPr>
                <w:rFonts w:ascii="Garamond" w:eastAsia="Times New Roman" w:hAnsi="Garamond" w:cs="Arial"/>
                <w:smallCaps/>
                <w:color w:val="000000"/>
                <w:sz w:val="24"/>
                <w:szCs w:val="20"/>
              </w:rPr>
            </w:pPr>
            <w:r w:rsidRPr="00FE645E">
              <w:rPr>
                <w:rFonts w:ascii="Garamond" w:eastAsia="Times New Roman" w:hAnsi="Garamond" w:cs="Arial"/>
                <w:smallCaps/>
                <w:color w:val="000000"/>
                <w:sz w:val="24"/>
                <w:szCs w:val="20"/>
              </w:rPr>
              <w:sym w:font="Webdings" w:char="F0C9"/>
            </w:r>
            <w:r w:rsidRPr="00FE645E">
              <w:rPr>
                <w:rFonts w:ascii="Garamond" w:eastAsia="Times New Roman" w:hAnsi="Garamond" w:cs="Arial"/>
                <w:smallCaps/>
                <w:color w:val="000000"/>
                <w:sz w:val="24"/>
                <w:szCs w:val="20"/>
              </w:rPr>
              <w:t xml:space="preserve"> +91-9011062878</w:t>
            </w:r>
          </w:p>
          <w:p w:rsidR="00D93EEA" w:rsidRPr="00FE645E" w:rsidRDefault="00D93EEA" w:rsidP="00FF4461">
            <w:pPr>
              <w:spacing w:after="0" w:line="240" w:lineRule="auto"/>
              <w:jc w:val="center"/>
              <w:rPr>
                <w:rFonts w:ascii="Garamond" w:eastAsia="Times New Roman" w:hAnsi="Garamond" w:cs="Arial"/>
                <w:smallCaps/>
                <w:color w:val="000000"/>
                <w:sz w:val="24"/>
                <w:szCs w:val="20"/>
              </w:rPr>
            </w:pPr>
            <w:r w:rsidRPr="00FE645E">
              <w:rPr>
                <w:rFonts w:ascii="Garamond" w:eastAsia="Times New Roman" w:hAnsi="Garamond" w:cs="Arial"/>
                <w:smallCaps/>
                <w:color w:val="000000"/>
                <w:sz w:val="24"/>
                <w:szCs w:val="20"/>
              </w:rPr>
              <w:t>Akash Katawati</w:t>
            </w:r>
          </w:p>
          <w:p w:rsidR="00D93EEA" w:rsidRPr="00FE645E" w:rsidRDefault="00D93EEA" w:rsidP="00FF4461">
            <w:pPr>
              <w:spacing w:after="0" w:line="240" w:lineRule="auto"/>
              <w:jc w:val="center"/>
              <w:rPr>
                <w:rFonts w:ascii="Garamond" w:eastAsia="Times New Roman" w:hAnsi="Garamond" w:cs="Arial"/>
                <w:color w:val="000000"/>
                <w:sz w:val="24"/>
                <w:szCs w:val="20"/>
              </w:rPr>
            </w:pPr>
            <w:r w:rsidRPr="00FE645E">
              <w:rPr>
                <w:rFonts w:ascii="Garamond" w:eastAsia="Times New Roman" w:hAnsi="Garamond" w:cs="Arial"/>
                <w:color w:val="000000"/>
                <w:sz w:val="24"/>
                <w:szCs w:val="20"/>
              </w:rPr>
              <w:sym w:font="Webdings" w:char="F0C9"/>
            </w:r>
            <w:r w:rsidRPr="00FE645E">
              <w:rPr>
                <w:rFonts w:ascii="Garamond" w:eastAsia="Times New Roman" w:hAnsi="Garamond" w:cs="Arial"/>
                <w:color w:val="000000"/>
                <w:sz w:val="24"/>
                <w:szCs w:val="20"/>
              </w:rPr>
              <w:t>+91-9763555120</w:t>
            </w:r>
          </w:p>
        </w:tc>
        <w:tc>
          <w:tcPr>
            <w:tcW w:w="1445" w:type="pct"/>
            <w:shd w:val="clear" w:color="auto" w:fill="auto"/>
          </w:tcPr>
          <w:p w:rsidR="00D93EEA" w:rsidRPr="00FE645E" w:rsidRDefault="00D93EEA" w:rsidP="00FF4461">
            <w:pPr>
              <w:spacing w:after="0"/>
              <w:jc w:val="center"/>
              <w:rPr>
                <w:rFonts w:ascii="Garamond" w:eastAsia="Times New Roman" w:hAnsi="Garamond" w:cs="Arial"/>
                <w:b/>
                <w:smallCaps/>
                <w:color w:val="000000"/>
                <w:sz w:val="24"/>
                <w:szCs w:val="20"/>
                <w:u w:val="single"/>
              </w:rPr>
            </w:pPr>
            <w:r w:rsidRPr="00FE645E">
              <w:rPr>
                <w:rFonts w:ascii="Garamond" w:eastAsia="Times New Roman" w:hAnsi="Garamond" w:cs="Arial"/>
                <w:b/>
                <w:smallCaps/>
                <w:color w:val="000000"/>
                <w:sz w:val="24"/>
                <w:szCs w:val="20"/>
                <w:u w:val="single"/>
              </w:rPr>
              <w:t>Faculty Convener</w:t>
            </w:r>
          </w:p>
          <w:p w:rsidR="00D93EEA" w:rsidRPr="00FE645E" w:rsidRDefault="00D93EEA" w:rsidP="00FF4461">
            <w:pPr>
              <w:spacing w:after="0"/>
              <w:jc w:val="center"/>
              <w:rPr>
                <w:rFonts w:ascii="Garamond" w:eastAsia="Times New Roman" w:hAnsi="Garamond" w:cs="Arial"/>
                <w:smallCaps/>
                <w:color w:val="000000"/>
                <w:sz w:val="24"/>
                <w:szCs w:val="20"/>
              </w:rPr>
            </w:pPr>
          </w:p>
          <w:p w:rsidR="00D93EEA" w:rsidRPr="00FE645E" w:rsidRDefault="00D93EEA" w:rsidP="00FF4461">
            <w:pPr>
              <w:spacing w:after="0"/>
              <w:jc w:val="center"/>
              <w:rPr>
                <w:rFonts w:ascii="Garamond" w:eastAsia="Times New Roman" w:hAnsi="Garamond" w:cs="Arial"/>
                <w:smallCaps/>
                <w:color w:val="000000"/>
                <w:sz w:val="24"/>
                <w:szCs w:val="20"/>
              </w:rPr>
            </w:pPr>
            <w:r w:rsidRPr="00FE645E">
              <w:rPr>
                <w:rFonts w:ascii="Garamond" w:eastAsia="Times New Roman" w:hAnsi="Garamond" w:cs="Arial"/>
                <w:smallCaps/>
                <w:color w:val="000000"/>
                <w:sz w:val="24"/>
                <w:szCs w:val="20"/>
              </w:rPr>
              <w:t>Dr. Deepa Paturkar</w:t>
            </w:r>
          </w:p>
          <w:p w:rsidR="00D93EEA" w:rsidRPr="00FE645E" w:rsidRDefault="00D93EEA" w:rsidP="00FF4461">
            <w:pPr>
              <w:spacing w:after="0" w:line="240" w:lineRule="auto"/>
              <w:jc w:val="center"/>
              <w:rPr>
                <w:rFonts w:ascii="Garamond" w:eastAsia="Times New Roman" w:hAnsi="Garamond" w:cs="Arial"/>
                <w:smallCaps/>
                <w:color w:val="000000"/>
                <w:sz w:val="24"/>
                <w:szCs w:val="20"/>
              </w:rPr>
            </w:pPr>
            <w:r w:rsidRPr="00FE645E">
              <w:rPr>
                <w:rFonts w:ascii="Garamond" w:eastAsia="Times New Roman" w:hAnsi="Garamond" w:cs="Arial"/>
                <w:smallCaps/>
                <w:color w:val="000000"/>
                <w:sz w:val="24"/>
                <w:szCs w:val="20"/>
              </w:rPr>
              <w:sym w:font="Webdings" w:char="F0C9"/>
            </w:r>
            <w:r w:rsidRPr="00FE645E">
              <w:rPr>
                <w:rFonts w:ascii="Garamond" w:eastAsia="Times New Roman" w:hAnsi="Garamond" w:cs="Arial"/>
                <w:smallCaps/>
                <w:color w:val="000000"/>
                <w:sz w:val="24"/>
                <w:szCs w:val="20"/>
              </w:rPr>
              <w:t xml:space="preserve"> +91-9890011494</w:t>
            </w:r>
          </w:p>
          <w:p w:rsidR="00D93EEA" w:rsidRPr="00FE645E" w:rsidRDefault="00D93EEA" w:rsidP="00F5613D">
            <w:pPr>
              <w:spacing w:after="0"/>
              <w:jc w:val="center"/>
              <w:rPr>
                <w:rFonts w:ascii="Garamond" w:eastAsia="Times New Roman" w:hAnsi="Garamond" w:cs="Arial"/>
                <w:color w:val="000000"/>
                <w:sz w:val="24"/>
                <w:szCs w:val="20"/>
              </w:rPr>
            </w:pPr>
            <w:r w:rsidRPr="00FE645E">
              <w:rPr>
                <w:rFonts w:ascii="Garamond" w:eastAsia="Times New Roman" w:hAnsi="Garamond" w:cs="Arial"/>
                <w:color w:val="000000"/>
                <w:sz w:val="24"/>
                <w:szCs w:val="20"/>
              </w:rPr>
              <w:t xml:space="preserve">Assistant Professor </w:t>
            </w:r>
          </w:p>
        </w:tc>
      </w:tr>
    </w:tbl>
    <w:p w:rsidR="00961D62" w:rsidRDefault="00961D62" w:rsidP="00961D62">
      <w:pPr>
        <w:shd w:val="clear" w:color="auto" w:fill="FFFFFF"/>
        <w:spacing w:after="0"/>
        <w:rPr>
          <w:rFonts w:ascii="Arial" w:eastAsia="Times New Roman" w:hAnsi="Arial" w:cs="Arial"/>
          <w:b/>
          <w:caps/>
          <w:color w:val="000000"/>
          <w:sz w:val="20"/>
          <w:szCs w:val="20"/>
        </w:rPr>
      </w:pPr>
    </w:p>
    <w:sectPr w:rsidR="00961D62" w:rsidSect="002E3677">
      <w:type w:val="continuous"/>
      <w:pgSz w:w="11907" w:h="16839" w:code="9"/>
      <w:pgMar w:top="144" w:right="720" w:bottom="144" w:left="720"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5735" w:rsidRDefault="004C5735">
      <w:pPr>
        <w:spacing w:after="0" w:line="240" w:lineRule="auto"/>
      </w:pPr>
      <w:r>
        <w:separator/>
      </w:r>
    </w:p>
  </w:endnote>
  <w:endnote w:type="continuationSeparator" w:id="0">
    <w:p w:rsidR="004C5735" w:rsidRDefault="004C57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rinda">
    <w:panose1 w:val="020B0502040204020203"/>
    <w:charset w:val="00"/>
    <w:family w:val="swiss"/>
    <w:pitch w:val="variable"/>
    <w:sig w:usb0="0001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Webdings">
    <w:panose1 w:val="05030102010509060703"/>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5735" w:rsidRDefault="004C5735">
      <w:pPr>
        <w:spacing w:after="0" w:line="240" w:lineRule="auto"/>
      </w:pPr>
      <w:r>
        <w:separator/>
      </w:r>
    </w:p>
  </w:footnote>
  <w:footnote w:type="continuationSeparator" w:id="0">
    <w:p w:rsidR="004C5735" w:rsidRDefault="004C573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E0061D"/>
    <w:multiLevelType w:val="hybridMultilevel"/>
    <w:tmpl w:val="4E5447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BF1A96"/>
    <w:multiLevelType w:val="hybridMultilevel"/>
    <w:tmpl w:val="42D69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EBB799D"/>
    <w:multiLevelType w:val="hybridMultilevel"/>
    <w:tmpl w:val="B9E86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3E283E9D"/>
    <w:multiLevelType w:val="hybridMultilevel"/>
    <w:tmpl w:val="8D1CCD54"/>
    <w:lvl w:ilvl="0" w:tplc="39A60AA8">
      <w:start w:val="1"/>
      <w:numFmt w:val="lowerRoman"/>
      <w:lvlText w:val="%1)"/>
      <w:lvlJc w:val="left"/>
      <w:pPr>
        <w:ind w:left="1080" w:hanging="720"/>
      </w:pPr>
      <w:rPr>
        <w:rFonts w:hint="default"/>
      </w:rPr>
    </w:lvl>
    <w:lvl w:ilvl="1" w:tplc="C90EB57E">
      <w:start w:val="1"/>
      <w:numFmt w:val="decimal"/>
      <w:lvlText w:val="%2."/>
      <w:lvlJc w:val="left"/>
      <w:pPr>
        <w:ind w:left="1440" w:hanging="360"/>
      </w:pPr>
      <w:rPr>
        <w:rFonts w:hint="default"/>
      </w:r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4">
    <w:nsid w:val="56721E27"/>
    <w:multiLevelType w:val="hybridMultilevel"/>
    <w:tmpl w:val="95BA81E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5B186E08"/>
    <w:multiLevelType w:val="hybridMultilevel"/>
    <w:tmpl w:val="E1168BBA"/>
    <w:lvl w:ilvl="0" w:tplc="71C8A6A0">
      <w:start w:val="1"/>
      <w:numFmt w:val="lowerLetter"/>
      <w:lvlText w:val="%1."/>
      <w:lvlJc w:val="left"/>
      <w:pPr>
        <w:ind w:left="1440" w:hanging="360"/>
      </w:pPr>
      <w:rPr>
        <w:rFonts w:hint="default"/>
      </w:r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6">
    <w:nsid w:val="5B65046B"/>
    <w:multiLevelType w:val="hybridMultilevel"/>
    <w:tmpl w:val="93D28762"/>
    <w:lvl w:ilvl="0" w:tplc="40090019">
      <w:start w:val="1"/>
      <w:numFmt w:val="lowerLetter"/>
      <w:lvlText w:val="%1."/>
      <w:lvlJc w:val="left"/>
      <w:pPr>
        <w:ind w:left="1080" w:hanging="360"/>
      </w:pPr>
    </w:lvl>
    <w:lvl w:ilvl="1" w:tplc="40090019">
      <w:start w:val="1"/>
      <w:numFmt w:val="lowerLetter"/>
      <w:lvlText w:val="%2."/>
      <w:lvlJc w:val="left"/>
      <w:pPr>
        <w:ind w:left="1800" w:hanging="360"/>
      </w:pPr>
    </w:lvl>
    <w:lvl w:ilvl="2" w:tplc="1E32D140">
      <w:start w:val="1"/>
      <w:numFmt w:val="upperLetter"/>
      <w:lvlText w:val="%3."/>
      <w:lvlJc w:val="left"/>
      <w:pPr>
        <w:ind w:left="2700" w:hanging="360"/>
      </w:pPr>
      <w:rPr>
        <w:rFonts w:hint="default"/>
      </w:r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7">
    <w:nsid w:val="5F1909F2"/>
    <w:multiLevelType w:val="hybridMultilevel"/>
    <w:tmpl w:val="4EB84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4"/>
  </w:num>
  <w:num w:numId="5">
    <w:abstractNumId w:val="1"/>
  </w:num>
  <w:num w:numId="6">
    <w:abstractNumId w:val="7"/>
  </w:num>
  <w:num w:numId="7">
    <w:abstractNumId w:val="2"/>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7CE3"/>
    <w:rsid w:val="0002591A"/>
    <w:rsid w:val="00095DF5"/>
    <w:rsid w:val="000D3A2E"/>
    <w:rsid w:val="002A0CB8"/>
    <w:rsid w:val="002E3677"/>
    <w:rsid w:val="003C1B98"/>
    <w:rsid w:val="00423D9E"/>
    <w:rsid w:val="004600E6"/>
    <w:rsid w:val="004C5735"/>
    <w:rsid w:val="00587D81"/>
    <w:rsid w:val="006A22C7"/>
    <w:rsid w:val="007A38B1"/>
    <w:rsid w:val="007C41DF"/>
    <w:rsid w:val="00813464"/>
    <w:rsid w:val="008C5750"/>
    <w:rsid w:val="008F0B5F"/>
    <w:rsid w:val="00917CE3"/>
    <w:rsid w:val="00961D62"/>
    <w:rsid w:val="009A0C34"/>
    <w:rsid w:val="009D331F"/>
    <w:rsid w:val="00AD1672"/>
    <w:rsid w:val="00B1238F"/>
    <w:rsid w:val="00B5254E"/>
    <w:rsid w:val="00BC66C5"/>
    <w:rsid w:val="00C15027"/>
    <w:rsid w:val="00CC7833"/>
    <w:rsid w:val="00D342DC"/>
    <w:rsid w:val="00D93EEA"/>
    <w:rsid w:val="00E30951"/>
    <w:rsid w:val="00EA3505"/>
    <w:rsid w:val="00ED4600"/>
    <w:rsid w:val="00F5613D"/>
    <w:rsid w:val="00FE645E"/>
  </w:rsids>
  <m:mathPr>
    <m:mathFont m:val="Cambria Math"/>
    <m:brkBin m:val="before"/>
    <m:brkBinSub m:val="--"/>
    <m:smallFrac m:val="0"/>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D62"/>
    <w:pPr>
      <w:spacing w:after="200" w:line="276" w:lineRule="auto"/>
    </w:pPr>
    <w:rPr>
      <w:rFonts w:eastAsiaTheme="minorEastAsia"/>
    </w:rPr>
  </w:style>
  <w:style w:type="paragraph" w:styleId="Heading1">
    <w:name w:val="heading 1"/>
    <w:basedOn w:val="Normal"/>
    <w:link w:val="Heading1Char"/>
    <w:qFormat/>
    <w:rsid w:val="00961D62"/>
    <w:pPr>
      <w:keepNext/>
      <w:spacing w:after="0" w:line="240" w:lineRule="auto"/>
      <w:jc w:val="center"/>
      <w:outlineLvl w:val="0"/>
    </w:pPr>
    <w:rPr>
      <w:rFonts w:ascii="Times New Roman" w:eastAsia="Times New Roman" w:hAnsi="Times New Roman" w:cs="Times New Roman"/>
      <w:b/>
      <w:sz w:val="32"/>
    </w:rPr>
  </w:style>
  <w:style w:type="paragraph" w:styleId="Heading9">
    <w:name w:val="heading 9"/>
    <w:basedOn w:val="Normal"/>
    <w:link w:val="Heading9Char"/>
    <w:qFormat/>
    <w:rsid w:val="00961D62"/>
    <w:pPr>
      <w:keepNext/>
      <w:spacing w:before="120" w:after="120" w:line="240" w:lineRule="atLeast"/>
      <w:jc w:val="center"/>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D62"/>
    <w:rPr>
      <w:rFonts w:ascii="Times New Roman" w:eastAsia="Times New Roman" w:hAnsi="Times New Roman" w:cs="Times New Roman"/>
      <w:b/>
      <w:sz w:val="32"/>
    </w:rPr>
  </w:style>
  <w:style w:type="character" w:customStyle="1" w:styleId="Heading9Char">
    <w:name w:val="Heading 9 Char"/>
    <w:basedOn w:val="DefaultParagraphFont"/>
    <w:link w:val="Heading9"/>
    <w:rsid w:val="00961D62"/>
    <w:rPr>
      <w:rFonts w:ascii="Times New Roman" w:eastAsia="Times New Roman" w:hAnsi="Times New Roman" w:cs="Times New Roman"/>
      <w:b/>
      <w:sz w:val="24"/>
      <w:szCs w:val="24"/>
    </w:rPr>
  </w:style>
  <w:style w:type="paragraph" w:styleId="ListParagraph">
    <w:name w:val="List Paragraph"/>
    <w:basedOn w:val="Normal"/>
    <w:uiPriority w:val="34"/>
    <w:qFormat/>
    <w:rsid w:val="00961D62"/>
    <w:pPr>
      <w:ind w:left="720"/>
      <w:contextualSpacing/>
    </w:pPr>
    <w:rPr>
      <w:rFonts w:ascii="Calibri" w:eastAsia="Calibri" w:hAnsi="Times New Roman" w:cs="Times New Roman"/>
    </w:rPr>
  </w:style>
  <w:style w:type="paragraph" w:styleId="Footer">
    <w:name w:val="footer"/>
    <w:basedOn w:val="Normal"/>
    <w:link w:val="FooterChar"/>
    <w:uiPriority w:val="99"/>
    <w:unhideWhenUsed/>
    <w:rsid w:val="00961D62"/>
    <w:pPr>
      <w:tabs>
        <w:tab w:val="center" w:pos="4513"/>
        <w:tab w:val="right" w:pos="9026"/>
      </w:tabs>
      <w:spacing w:after="0" w:line="240" w:lineRule="auto"/>
    </w:pPr>
    <w:rPr>
      <w:rFonts w:ascii="Calibri" w:eastAsia="Calibri" w:hAnsi="Times New Roman" w:cs="Times New Roman"/>
    </w:rPr>
  </w:style>
  <w:style w:type="character" w:customStyle="1" w:styleId="FooterChar">
    <w:name w:val="Footer Char"/>
    <w:basedOn w:val="DefaultParagraphFont"/>
    <w:link w:val="Footer"/>
    <w:uiPriority w:val="99"/>
    <w:rsid w:val="00961D62"/>
    <w:rPr>
      <w:rFonts w:ascii="Calibri" w:eastAsia="Calibri" w:hAnsi="Times New Roman" w:cs="Times New Roman"/>
    </w:rPr>
  </w:style>
  <w:style w:type="paragraph" w:styleId="BalloonText">
    <w:name w:val="Balloon Text"/>
    <w:basedOn w:val="Normal"/>
    <w:link w:val="BalloonTextChar"/>
    <w:uiPriority w:val="99"/>
    <w:semiHidden/>
    <w:unhideWhenUsed/>
    <w:rsid w:val="00D93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EA"/>
    <w:rPr>
      <w:rFonts w:ascii="Segoe UI" w:eastAsiaTheme="minorEastAsia" w:hAnsi="Segoe UI" w:cs="Segoe UI"/>
      <w:sz w:val="18"/>
      <w:szCs w:val="18"/>
    </w:rPr>
  </w:style>
  <w:style w:type="table" w:styleId="TableGrid">
    <w:name w:val="Table Grid"/>
    <w:basedOn w:val="TableNormal"/>
    <w:uiPriority w:val="59"/>
    <w:rsid w:val="00D93EE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13D"/>
    <w:rPr>
      <w:rFonts w:eastAsiaTheme="minorEastAsi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61D62"/>
    <w:pPr>
      <w:spacing w:after="200" w:line="276" w:lineRule="auto"/>
    </w:pPr>
    <w:rPr>
      <w:rFonts w:eastAsiaTheme="minorEastAsia"/>
    </w:rPr>
  </w:style>
  <w:style w:type="paragraph" w:styleId="Heading1">
    <w:name w:val="heading 1"/>
    <w:basedOn w:val="Normal"/>
    <w:link w:val="Heading1Char"/>
    <w:qFormat/>
    <w:rsid w:val="00961D62"/>
    <w:pPr>
      <w:keepNext/>
      <w:spacing w:after="0" w:line="240" w:lineRule="auto"/>
      <w:jc w:val="center"/>
      <w:outlineLvl w:val="0"/>
    </w:pPr>
    <w:rPr>
      <w:rFonts w:ascii="Times New Roman" w:eastAsia="Times New Roman" w:hAnsi="Times New Roman" w:cs="Times New Roman"/>
      <w:b/>
      <w:sz w:val="32"/>
    </w:rPr>
  </w:style>
  <w:style w:type="paragraph" w:styleId="Heading9">
    <w:name w:val="heading 9"/>
    <w:basedOn w:val="Normal"/>
    <w:link w:val="Heading9Char"/>
    <w:qFormat/>
    <w:rsid w:val="00961D62"/>
    <w:pPr>
      <w:keepNext/>
      <w:spacing w:before="120" w:after="120" w:line="240" w:lineRule="atLeast"/>
      <w:jc w:val="center"/>
      <w:outlineLvl w:val="8"/>
    </w:pPr>
    <w:rPr>
      <w:rFonts w:ascii="Times New Roman" w:eastAsia="Times New Roman" w:hAnsi="Times New Roman" w:cs="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961D62"/>
    <w:rPr>
      <w:rFonts w:ascii="Times New Roman" w:eastAsia="Times New Roman" w:hAnsi="Times New Roman" w:cs="Times New Roman"/>
      <w:b/>
      <w:sz w:val="32"/>
    </w:rPr>
  </w:style>
  <w:style w:type="character" w:customStyle="1" w:styleId="Heading9Char">
    <w:name w:val="Heading 9 Char"/>
    <w:basedOn w:val="DefaultParagraphFont"/>
    <w:link w:val="Heading9"/>
    <w:rsid w:val="00961D62"/>
    <w:rPr>
      <w:rFonts w:ascii="Times New Roman" w:eastAsia="Times New Roman" w:hAnsi="Times New Roman" w:cs="Times New Roman"/>
      <w:b/>
      <w:sz w:val="24"/>
      <w:szCs w:val="24"/>
    </w:rPr>
  </w:style>
  <w:style w:type="paragraph" w:styleId="ListParagraph">
    <w:name w:val="List Paragraph"/>
    <w:basedOn w:val="Normal"/>
    <w:uiPriority w:val="34"/>
    <w:qFormat/>
    <w:rsid w:val="00961D62"/>
    <w:pPr>
      <w:ind w:left="720"/>
      <w:contextualSpacing/>
    </w:pPr>
    <w:rPr>
      <w:rFonts w:ascii="Calibri" w:eastAsia="Calibri" w:hAnsi="Times New Roman" w:cs="Times New Roman"/>
    </w:rPr>
  </w:style>
  <w:style w:type="paragraph" w:styleId="Footer">
    <w:name w:val="footer"/>
    <w:basedOn w:val="Normal"/>
    <w:link w:val="FooterChar"/>
    <w:uiPriority w:val="99"/>
    <w:unhideWhenUsed/>
    <w:rsid w:val="00961D62"/>
    <w:pPr>
      <w:tabs>
        <w:tab w:val="center" w:pos="4513"/>
        <w:tab w:val="right" w:pos="9026"/>
      </w:tabs>
      <w:spacing w:after="0" w:line="240" w:lineRule="auto"/>
    </w:pPr>
    <w:rPr>
      <w:rFonts w:ascii="Calibri" w:eastAsia="Calibri" w:hAnsi="Times New Roman" w:cs="Times New Roman"/>
    </w:rPr>
  </w:style>
  <w:style w:type="character" w:customStyle="1" w:styleId="FooterChar">
    <w:name w:val="Footer Char"/>
    <w:basedOn w:val="DefaultParagraphFont"/>
    <w:link w:val="Footer"/>
    <w:uiPriority w:val="99"/>
    <w:rsid w:val="00961D62"/>
    <w:rPr>
      <w:rFonts w:ascii="Calibri" w:eastAsia="Calibri" w:hAnsi="Times New Roman" w:cs="Times New Roman"/>
    </w:rPr>
  </w:style>
  <w:style w:type="paragraph" w:styleId="BalloonText">
    <w:name w:val="Balloon Text"/>
    <w:basedOn w:val="Normal"/>
    <w:link w:val="BalloonTextChar"/>
    <w:uiPriority w:val="99"/>
    <w:semiHidden/>
    <w:unhideWhenUsed/>
    <w:rsid w:val="00D93E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EEA"/>
    <w:rPr>
      <w:rFonts w:ascii="Segoe UI" w:eastAsiaTheme="minorEastAsia" w:hAnsi="Segoe UI" w:cs="Segoe UI"/>
      <w:sz w:val="18"/>
      <w:szCs w:val="18"/>
    </w:rPr>
  </w:style>
  <w:style w:type="table" w:styleId="TableGrid">
    <w:name w:val="Table Grid"/>
    <w:basedOn w:val="TableNormal"/>
    <w:uiPriority w:val="59"/>
    <w:rsid w:val="00D93EEA"/>
    <w:pPr>
      <w:spacing w:after="0" w:line="240" w:lineRule="auto"/>
    </w:pPr>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F5613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5613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2</Pages>
  <Words>506</Words>
  <Characters>2889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DeepaP</dc:creator>
  <cp:keywords/>
  <dc:description/>
  <cp:lastModifiedBy>Admin</cp:lastModifiedBy>
  <cp:revision>8</cp:revision>
  <cp:lastPrinted>2016-02-01T10:42:00Z</cp:lastPrinted>
  <dcterms:created xsi:type="dcterms:W3CDTF">2016-01-15T09:53:00Z</dcterms:created>
  <dcterms:modified xsi:type="dcterms:W3CDTF">2016-02-05T10:58:00Z</dcterms:modified>
</cp:coreProperties>
</file>