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B53" w:rsidRPr="00C8149F" w:rsidRDefault="005A6B53" w:rsidP="00C8149F">
      <w:pPr>
        <w:pStyle w:val="Heading1"/>
        <w:spacing w:before="0"/>
        <w:rPr>
          <w:rFonts w:cs="Times New Roman"/>
          <w:szCs w:val="24"/>
        </w:rPr>
      </w:pPr>
    </w:p>
    <w:p w:rsidR="00223378" w:rsidRPr="00C8149F" w:rsidRDefault="005534FE" w:rsidP="00C8149F">
      <w:pPr>
        <w:pStyle w:val="Heading1"/>
        <w:spacing w:before="0"/>
        <w:rPr>
          <w:rFonts w:cs="Times New Roman"/>
          <w:szCs w:val="24"/>
        </w:rPr>
      </w:pPr>
      <w:r w:rsidRPr="00C8149F">
        <w:rPr>
          <w:rFonts w:cs="Times New Roman"/>
          <w:szCs w:val="24"/>
        </w:rPr>
        <w:t>About the Journal</w:t>
      </w:r>
    </w:p>
    <w:p w:rsidR="005534FE" w:rsidRPr="00C8149F" w:rsidRDefault="005534FE" w:rsidP="00C8149F">
      <w:pPr>
        <w:spacing w:before="0"/>
        <w:jc w:val="both"/>
        <w:rPr>
          <w:rFonts w:cs="Times New Roman"/>
          <w:szCs w:val="24"/>
        </w:rPr>
      </w:pPr>
      <w:r w:rsidRPr="00C8149F">
        <w:rPr>
          <w:rFonts w:cs="Times New Roman"/>
          <w:szCs w:val="24"/>
        </w:rPr>
        <w:t>The NLUJ Law Review (”the Review") is the flagship journal of National Law University, Jodhpur, established with the objective of promoting academic research and fostering debate on contemporary legal issues in India. It is a bi-</w:t>
      </w:r>
      <w:proofErr w:type="gramStart"/>
      <w:r w:rsidRPr="00C8149F">
        <w:rPr>
          <w:rFonts w:cs="Times New Roman"/>
          <w:szCs w:val="24"/>
        </w:rPr>
        <w:t>annual,</w:t>
      </w:r>
      <w:proofErr w:type="gramEnd"/>
      <w:r w:rsidRPr="00C8149F">
        <w:rPr>
          <w:rFonts w:cs="Times New Roman"/>
          <w:szCs w:val="24"/>
        </w:rPr>
        <w:t xml:space="preserve"> double-blind student reviewed and edited the journal, focusing on an inter-disciplinary approach towards legal writing. The remit of the Review is not restricted to any particular field of law but is broad enough to include national as well as international legal and policy-related issues.</w:t>
      </w:r>
    </w:p>
    <w:p w:rsidR="005534FE" w:rsidRPr="00C8149F" w:rsidRDefault="005534FE" w:rsidP="00C8149F">
      <w:pPr>
        <w:pStyle w:val="Heading1"/>
        <w:spacing w:before="0"/>
        <w:rPr>
          <w:rFonts w:cs="Times New Roman"/>
          <w:szCs w:val="24"/>
        </w:rPr>
      </w:pPr>
      <w:r w:rsidRPr="00C8149F">
        <w:rPr>
          <w:rFonts w:cs="Times New Roman"/>
          <w:szCs w:val="24"/>
        </w:rPr>
        <w:t>Nature of submissions</w:t>
      </w:r>
    </w:p>
    <w:p w:rsidR="005534FE" w:rsidRPr="00C8149F" w:rsidRDefault="005534FE" w:rsidP="00C8149F">
      <w:pPr>
        <w:pStyle w:val="04xlpa"/>
        <w:spacing w:before="0" w:beforeAutospacing="0" w:line="360" w:lineRule="auto"/>
        <w:jc w:val="both"/>
        <w:rPr>
          <w:color w:val="000000"/>
          <w:spacing w:val="10"/>
        </w:rPr>
      </w:pPr>
      <w:r w:rsidRPr="00C8149F">
        <w:rPr>
          <w:color w:val="000000"/>
          <w:spacing w:val="10"/>
        </w:rPr>
        <w:t>The NLUJ Law Review invites original, unpublished manuscripts from all academicians, authors, legal professionals and students from India and abroad, under the following categories:</w:t>
      </w:r>
    </w:p>
    <w:p w:rsidR="005534FE" w:rsidRPr="00C8149F" w:rsidRDefault="005534FE" w:rsidP="00C8149F">
      <w:pPr>
        <w:pStyle w:val="Heading2"/>
        <w:spacing w:before="0"/>
        <w:jc w:val="both"/>
        <w:rPr>
          <w:rFonts w:cs="Times New Roman"/>
          <w:szCs w:val="24"/>
        </w:rPr>
      </w:pPr>
      <w:r w:rsidRPr="00C8149F">
        <w:rPr>
          <w:rFonts w:cs="Times New Roman"/>
          <w:szCs w:val="24"/>
        </w:rPr>
        <w:t>Long Articles</w:t>
      </w:r>
    </w:p>
    <w:p w:rsidR="005534FE" w:rsidRPr="00C8149F" w:rsidRDefault="005534FE" w:rsidP="00C8149F">
      <w:pPr>
        <w:spacing w:before="0"/>
        <w:jc w:val="both"/>
        <w:rPr>
          <w:rFonts w:cs="Times New Roman"/>
          <w:szCs w:val="24"/>
        </w:rPr>
      </w:pPr>
      <w:r w:rsidRPr="00C8149F">
        <w:rPr>
          <w:rFonts w:cs="Times New Roman"/>
          <w:szCs w:val="24"/>
        </w:rPr>
        <w:t>Word Limit: 6000 - 8000 words (inclusive of footnotes)</w:t>
      </w:r>
    </w:p>
    <w:p w:rsidR="005534FE" w:rsidRPr="00C8149F" w:rsidRDefault="005534FE" w:rsidP="00C8149F">
      <w:pPr>
        <w:spacing w:before="0"/>
        <w:jc w:val="both"/>
        <w:rPr>
          <w:rFonts w:cs="Times New Roman"/>
          <w:color w:val="000000"/>
          <w:szCs w:val="24"/>
        </w:rPr>
      </w:pPr>
      <w:r w:rsidRPr="00C8149F">
        <w:rPr>
          <w:rFonts w:cs="Times New Roman"/>
          <w:color w:val="000000"/>
          <w:szCs w:val="24"/>
        </w:rPr>
        <w:t xml:space="preserve">This category is designed to comprehensively deal with and provide sustained analysis of a particular legal topic. It must </w:t>
      </w:r>
      <w:proofErr w:type="spellStart"/>
      <w:r w:rsidRPr="00C8149F">
        <w:rPr>
          <w:rFonts w:cs="Times New Roman"/>
          <w:color w:val="000000"/>
          <w:szCs w:val="24"/>
        </w:rPr>
        <w:t>analyse</w:t>
      </w:r>
      <w:proofErr w:type="spellEnd"/>
      <w:r w:rsidRPr="00C8149F">
        <w:rPr>
          <w:rFonts w:cs="Times New Roman"/>
          <w:color w:val="000000"/>
          <w:szCs w:val="24"/>
        </w:rPr>
        <w:t xml:space="preserve"> the current practice in the field, identify the lacunae therein, and provide constructive suggestions. Author(s) are also encouraged to write and submit analytical responses to earlier publications of the Review.</w:t>
      </w:r>
    </w:p>
    <w:p w:rsidR="005534FE" w:rsidRPr="00C8149F" w:rsidRDefault="005534FE" w:rsidP="00C8149F">
      <w:pPr>
        <w:pStyle w:val="Heading2"/>
        <w:spacing w:before="0"/>
        <w:jc w:val="both"/>
        <w:rPr>
          <w:rFonts w:cs="Times New Roman"/>
          <w:szCs w:val="24"/>
        </w:rPr>
      </w:pPr>
      <w:r w:rsidRPr="00C8149F">
        <w:rPr>
          <w:rFonts w:cs="Times New Roman"/>
          <w:szCs w:val="24"/>
        </w:rPr>
        <w:t>Short Articles</w:t>
      </w:r>
    </w:p>
    <w:p w:rsidR="005534FE" w:rsidRPr="00C8149F" w:rsidRDefault="005534FE" w:rsidP="00C8149F">
      <w:pPr>
        <w:spacing w:before="0"/>
        <w:jc w:val="both"/>
        <w:rPr>
          <w:rFonts w:cs="Times New Roman"/>
          <w:szCs w:val="24"/>
        </w:rPr>
      </w:pPr>
      <w:r w:rsidRPr="00C8149F">
        <w:rPr>
          <w:rFonts w:cs="Times New Roman"/>
          <w:szCs w:val="24"/>
        </w:rPr>
        <w:t>Word Limit: 3000 – 6000 words (inclusive of footnotes)</w:t>
      </w:r>
    </w:p>
    <w:p w:rsidR="005534FE" w:rsidRPr="00C8149F" w:rsidRDefault="005534FE" w:rsidP="00C8149F">
      <w:pPr>
        <w:spacing w:before="0"/>
        <w:jc w:val="both"/>
        <w:rPr>
          <w:rFonts w:cs="Times New Roman"/>
          <w:szCs w:val="24"/>
        </w:rPr>
      </w:pPr>
      <w:r w:rsidRPr="00C8149F">
        <w:rPr>
          <w:rFonts w:cs="Times New Roman"/>
          <w:color w:val="000000"/>
          <w:szCs w:val="24"/>
        </w:rPr>
        <w:t>Papers in this category must undertake a comprehensive study of specific topics and provide a new perspective and critical insight on the subject.</w:t>
      </w:r>
    </w:p>
    <w:p w:rsidR="005534FE" w:rsidRPr="00C8149F" w:rsidRDefault="005534FE" w:rsidP="00C8149F">
      <w:pPr>
        <w:pStyle w:val="Heading2"/>
        <w:spacing w:before="0"/>
        <w:jc w:val="both"/>
        <w:rPr>
          <w:rFonts w:cs="Times New Roman"/>
          <w:szCs w:val="24"/>
        </w:rPr>
      </w:pPr>
      <w:r w:rsidRPr="00C8149F">
        <w:rPr>
          <w:rFonts w:cs="Times New Roman"/>
          <w:szCs w:val="24"/>
        </w:rPr>
        <w:t>Notes and Comments</w:t>
      </w:r>
    </w:p>
    <w:p w:rsidR="005534FE" w:rsidRPr="00C8149F" w:rsidRDefault="005534FE" w:rsidP="00C8149F">
      <w:pPr>
        <w:spacing w:before="0"/>
        <w:jc w:val="both"/>
        <w:rPr>
          <w:rFonts w:cs="Times New Roman"/>
          <w:szCs w:val="24"/>
        </w:rPr>
      </w:pPr>
      <w:r w:rsidRPr="00C8149F">
        <w:rPr>
          <w:rFonts w:cs="Times New Roman"/>
          <w:szCs w:val="24"/>
        </w:rPr>
        <w:t>Word Limit: 1500 – 3000 words (inclusive of footnotes)</w:t>
      </w:r>
    </w:p>
    <w:p w:rsidR="005534FE" w:rsidRPr="00C8149F" w:rsidRDefault="005534FE" w:rsidP="00C8149F">
      <w:pPr>
        <w:spacing w:before="0"/>
        <w:jc w:val="both"/>
        <w:rPr>
          <w:rFonts w:cs="Times New Roman"/>
          <w:color w:val="000000"/>
          <w:szCs w:val="24"/>
        </w:rPr>
      </w:pPr>
      <w:r w:rsidRPr="00C8149F">
        <w:rPr>
          <w:rFonts w:cs="Times New Roman"/>
          <w:color w:val="000000"/>
          <w:szCs w:val="24"/>
        </w:rPr>
        <w:t>A note is a concise argument focusing on any recent legal controversy or debate. A comment is limited to the critical appraisal of recent judicial decisions, new legislation, or policy reform proposals.</w:t>
      </w:r>
    </w:p>
    <w:p w:rsidR="005534FE" w:rsidRPr="00C8149F" w:rsidRDefault="005534FE" w:rsidP="00C8149F">
      <w:pPr>
        <w:pStyle w:val="Heading1"/>
        <w:spacing w:before="0"/>
        <w:rPr>
          <w:rFonts w:cs="Times New Roman"/>
          <w:szCs w:val="24"/>
        </w:rPr>
      </w:pPr>
      <w:r w:rsidRPr="00C8149F">
        <w:rPr>
          <w:rFonts w:cs="Times New Roman"/>
          <w:szCs w:val="24"/>
        </w:rPr>
        <w:lastRenderedPageBreak/>
        <w:t>Submission Guidelines</w:t>
      </w:r>
    </w:p>
    <w:p w:rsidR="005534FE" w:rsidRPr="00C8149F" w:rsidRDefault="005534FE" w:rsidP="00C8149F">
      <w:pPr>
        <w:pStyle w:val="Heading2"/>
        <w:spacing w:before="0"/>
        <w:jc w:val="both"/>
        <w:rPr>
          <w:rFonts w:cs="Times New Roman"/>
          <w:szCs w:val="24"/>
        </w:rPr>
      </w:pPr>
      <w:r w:rsidRPr="00C8149F">
        <w:rPr>
          <w:rFonts w:cs="Times New Roman"/>
          <w:szCs w:val="24"/>
        </w:rPr>
        <w:t>General Instructions</w:t>
      </w:r>
    </w:p>
    <w:p w:rsidR="005534FE" w:rsidRPr="00C8149F" w:rsidRDefault="005534FE" w:rsidP="00C8149F">
      <w:pPr>
        <w:pStyle w:val="ListParagraph"/>
        <w:numPr>
          <w:ilvl w:val="0"/>
          <w:numId w:val="2"/>
        </w:numPr>
        <w:spacing w:before="0" w:after="0"/>
        <w:jc w:val="both"/>
        <w:rPr>
          <w:rFonts w:eastAsia="Times New Roman" w:cs="Times New Roman"/>
          <w:color w:val="000000"/>
          <w:szCs w:val="24"/>
        </w:rPr>
      </w:pPr>
      <w:r w:rsidRPr="00C8149F">
        <w:rPr>
          <w:rFonts w:eastAsia="Times New Roman" w:cs="Times New Roman"/>
          <w:color w:val="000000"/>
          <w:szCs w:val="24"/>
        </w:rPr>
        <w:t>The submissions made under the category of Long and Short Articles must enclose an abstract of not more than 200 words.</w:t>
      </w:r>
    </w:p>
    <w:p w:rsidR="005534FE" w:rsidRPr="00C8149F" w:rsidRDefault="005534FE" w:rsidP="00C8149F">
      <w:pPr>
        <w:pStyle w:val="ListParagraph"/>
        <w:numPr>
          <w:ilvl w:val="0"/>
          <w:numId w:val="2"/>
        </w:numPr>
        <w:spacing w:before="0" w:after="0"/>
        <w:jc w:val="both"/>
        <w:rPr>
          <w:rFonts w:eastAsia="Times New Roman" w:cs="Times New Roman"/>
          <w:color w:val="000000"/>
          <w:szCs w:val="24"/>
        </w:rPr>
      </w:pPr>
      <w:r w:rsidRPr="00C8149F">
        <w:rPr>
          <w:rFonts w:eastAsia="Times New Roman" w:cs="Times New Roman"/>
          <w:color w:val="000000"/>
          <w:szCs w:val="24"/>
        </w:rPr>
        <w:t>A maximum co-authorship of up to two authors is allowed for the long and short articles. However, no co-authorship is allowed under the category of notes and comments.</w:t>
      </w:r>
    </w:p>
    <w:p w:rsidR="006D3F86" w:rsidRPr="00C8149F" w:rsidRDefault="005534FE" w:rsidP="00C8149F">
      <w:pPr>
        <w:pStyle w:val="ListParagraph"/>
        <w:numPr>
          <w:ilvl w:val="0"/>
          <w:numId w:val="2"/>
        </w:numPr>
        <w:spacing w:before="0" w:after="0"/>
        <w:jc w:val="both"/>
        <w:rPr>
          <w:rFonts w:eastAsia="Times New Roman" w:cs="Times New Roman"/>
          <w:color w:val="000000"/>
          <w:szCs w:val="24"/>
        </w:rPr>
      </w:pPr>
      <w:r w:rsidRPr="00C8149F">
        <w:rPr>
          <w:rFonts w:eastAsia="Times New Roman" w:cs="Times New Roman"/>
          <w:color w:val="000000"/>
          <w:szCs w:val="24"/>
        </w:rPr>
        <w:t>All the submissions must be original and unpublished works of the author(s). In an event of acceptance for publication the submission elsewhere in the interim, the author(s) must inform the Review</w:t>
      </w:r>
      <w:r w:rsidR="006D3F86" w:rsidRPr="00C8149F">
        <w:rPr>
          <w:rFonts w:eastAsia="Times New Roman" w:cs="Times New Roman"/>
          <w:color w:val="000000"/>
          <w:szCs w:val="24"/>
        </w:rPr>
        <w:t xml:space="preserve"> and withdraw the submission</w:t>
      </w:r>
      <w:r w:rsidRPr="00C8149F">
        <w:rPr>
          <w:rFonts w:eastAsia="Times New Roman" w:cs="Times New Roman"/>
          <w:color w:val="000000"/>
          <w:szCs w:val="24"/>
        </w:rPr>
        <w:t>.</w:t>
      </w:r>
      <w:r w:rsidR="006D3F86" w:rsidRPr="00C8149F">
        <w:rPr>
          <w:rFonts w:eastAsia="Times New Roman" w:cs="Times New Roman"/>
          <w:color w:val="000000"/>
          <w:szCs w:val="24"/>
        </w:rPr>
        <w:t xml:space="preserve"> </w:t>
      </w:r>
      <w:r w:rsidRPr="00C8149F">
        <w:rPr>
          <w:rFonts w:eastAsia="Times New Roman" w:cs="Times New Roman"/>
          <w:color w:val="000000"/>
          <w:szCs w:val="24"/>
        </w:rPr>
        <w:t>Any form of plagiarism will lead to disqualification for the purposes of publication.</w:t>
      </w:r>
    </w:p>
    <w:p w:rsidR="006D3F86" w:rsidRPr="00C8149F" w:rsidRDefault="005534FE" w:rsidP="00C8149F">
      <w:pPr>
        <w:pStyle w:val="ListParagraph"/>
        <w:numPr>
          <w:ilvl w:val="0"/>
          <w:numId w:val="2"/>
        </w:numPr>
        <w:spacing w:before="0" w:after="0"/>
        <w:jc w:val="both"/>
        <w:rPr>
          <w:rFonts w:eastAsia="Times New Roman" w:cs="Times New Roman"/>
          <w:color w:val="000000"/>
          <w:szCs w:val="24"/>
        </w:rPr>
      </w:pPr>
      <w:r w:rsidRPr="00C8149F">
        <w:rPr>
          <w:rFonts w:eastAsia="Times New Roman" w:cs="Times New Roman"/>
          <w:color w:val="000000"/>
          <w:szCs w:val="24"/>
        </w:rPr>
        <w:t xml:space="preserve">Submissions must be made through the </w:t>
      </w:r>
      <w:hyperlink r:id="rId9" w:tgtFrame="_blank" w:history="1">
        <w:r w:rsidRPr="00C8149F">
          <w:rPr>
            <w:rFonts w:eastAsia="Times New Roman" w:cs="Times New Roman"/>
            <w:color w:val="000000"/>
            <w:szCs w:val="24"/>
            <w:u w:val="single"/>
          </w:rPr>
          <w:t>online form</w:t>
        </w:r>
      </w:hyperlink>
      <w:hyperlink r:id="rId10" w:tgtFrame="_blank" w:history="1">
        <w:r w:rsidRPr="00C8149F">
          <w:rPr>
            <w:rFonts w:eastAsia="Times New Roman" w:cs="Times New Roman"/>
            <w:color w:val="000000"/>
            <w:szCs w:val="24"/>
          </w:rPr>
          <w:t xml:space="preserve"> </w:t>
        </w:r>
      </w:hyperlink>
      <w:r w:rsidRPr="00C8149F">
        <w:rPr>
          <w:rFonts w:eastAsia="Times New Roman" w:cs="Times New Roman"/>
          <w:color w:val="000000"/>
          <w:szCs w:val="24"/>
        </w:rPr>
        <w:t xml:space="preserve">only. No submissions shall be accepted via any other mode. The form may be accessed by clicking </w:t>
      </w:r>
      <w:hyperlink r:id="rId11" w:tgtFrame="_blank" w:history="1">
        <w:r w:rsidRPr="00C8149F">
          <w:rPr>
            <w:rFonts w:eastAsia="Times New Roman" w:cs="Times New Roman"/>
            <w:color w:val="000000"/>
            <w:szCs w:val="24"/>
            <w:u w:val="single"/>
          </w:rPr>
          <w:t>here</w:t>
        </w:r>
      </w:hyperlink>
      <w:r w:rsidRPr="00C8149F">
        <w:rPr>
          <w:rFonts w:eastAsia="Times New Roman" w:cs="Times New Roman"/>
          <w:color w:val="000000"/>
          <w:szCs w:val="24"/>
        </w:rPr>
        <w:t>.</w:t>
      </w:r>
    </w:p>
    <w:p w:rsidR="005534FE" w:rsidRPr="00C8149F" w:rsidRDefault="005534FE" w:rsidP="00C8149F">
      <w:pPr>
        <w:pStyle w:val="ListParagraph"/>
        <w:numPr>
          <w:ilvl w:val="0"/>
          <w:numId w:val="2"/>
        </w:numPr>
        <w:spacing w:before="0" w:after="0"/>
        <w:jc w:val="both"/>
        <w:rPr>
          <w:rFonts w:eastAsia="Times New Roman" w:cs="Times New Roman"/>
          <w:szCs w:val="24"/>
        </w:rPr>
      </w:pPr>
      <w:r w:rsidRPr="00C8149F">
        <w:rPr>
          <w:rFonts w:eastAsia="Times New Roman" w:cs="Times New Roman"/>
          <w:color w:val="000000"/>
          <w:szCs w:val="24"/>
        </w:rPr>
        <w:t xml:space="preserve">Deadline for the submission is March 20, 2020 (11:59 pm, IST). </w:t>
      </w:r>
    </w:p>
    <w:p w:rsidR="006D3F86" w:rsidRPr="00C8149F" w:rsidRDefault="006D3F86" w:rsidP="00C8149F">
      <w:pPr>
        <w:pStyle w:val="Heading2"/>
        <w:spacing w:before="0"/>
        <w:jc w:val="both"/>
        <w:rPr>
          <w:rFonts w:eastAsia="Times New Roman" w:cs="Times New Roman"/>
          <w:szCs w:val="24"/>
        </w:rPr>
      </w:pPr>
      <w:r w:rsidRPr="00C8149F">
        <w:rPr>
          <w:rFonts w:eastAsia="Times New Roman" w:cs="Times New Roman"/>
          <w:szCs w:val="24"/>
        </w:rPr>
        <w:t>Formatting Guidelines</w:t>
      </w:r>
    </w:p>
    <w:p w:rsidR="006D3F86" w:rsidRPr="00C8149F" w:rsidRDefault="006D3F86" w:rsidP="00C8149F">
      <w:pPr>
        <w:pStyle w:val="ListParagraph"/>
        <w:numPr>
          <w:ilvl w:val="0"/>
          <w:numId w:val="4"/>
        </w:numPr>
        <w:tabs>
          <w:tab w:val="left" w:pos="0"/>
          <w:tab w:val="left" w:pos="540"/>
          <w:tab w:val="left" w:pos="720"/>
        </w:tabs>
        <w:spacing w:before="0" w:after="0"/>
        <w:ind w:left="540"/>
        <w:jc w:val="both"/>
        <w:rPr>
          <w:rFonts w:eastAsia="Times New Roman" w:cs="Times New Roman"/>
          <w:color w:val="000000"/>
          <w:szCs w:val="24"/>
        </w:rPr>
      </w:pPr>
      <w:r w:rsidRPr="00C8149F">
        <w:rPr>
          <w:rFonts w:eastAsia="Times New Roman" w:cs="Times New Roman"/>
          <w:color w:val="000000"/>
          <w:szCs w:val="24"/>
        </w:rPr>
        <w:t>Any disclosure of information in relation to the identity of the author(s) such as name, institutional assistance, professional details, etc. within the body of the manuscript, or the properties of the document submitted is strictly prohibited. Any violation of the anonymity requirement will lead to disqualification of the manuscript for purposes of publication.</w:t>
      </w:r>
    </w:p>
    <w:p w:rsidR="006D3F86" w:rsidRPr="00C8149F" w:rsidRDefault="006D3F86" w:rsidP="00C8149F">
      <w:pPr>
        <w:pStyle w:val="ListParagraph"/>
        <w:numPr>
          <w:ilvl w:val="0"/>
          <w:numId w:val="3"/>
        </w:numPr>
        <w:tabs>
          <w:tab w:val="left" w:pos="0"/>
          <w:tab w:val="left" w:pos="540"/>
          <w:tab w:val="left" w:pos="720"/>
        </w:tabs>
        <w:spacing w:before="0" w:after="0"/>
        <w:ind w:left="180" w:firstLine="0"/>
        <w:jc w:val="both"/>
        <w:rPr>
          <w:rFonts w:eastAsia="Times New Roman" w:cs="Times New Roman"/>
          <w:color w:val="000000"/>
          <w:szCs w:val="24"/>
        </w:rPr>
      </w:pPr>
      <w:r w:rsidRPr="00C8149F">
        <w:rPr>
          <w:rFonts w:eastAsia="Times New Roman" w:cs="Times New Roman"/>
          <w:color w:val="000000"/>
          <w:szCs w:val="24"/>
        </w:rPr>
        <w:t>The main content of the manuscript must adhere to the following formatting guidelines:</w:t>
      </w:r>
    </w:p>
    <w:p w:rsidR="006D3F86" w:rsidRPr="00C8149F" w:rsidRDefault="006D3F86" w:rsidP="00C8149F">
      <w:pPr>
        <w:pStyle w:val="ListParagraph"/>
        <w:numPr>
          <w:ilvl w:val="1"/>
          <w:numId w:val="3"/>
        </w:numPr>
        <w:tabs>
          <w:tab w:val="left" w:pos="0"/>
          <w:tab w:val="left" w:pos="540"/>
          <w:tab w:val="left" w:pos="720"/>
          <w:tab w:val="left" w:pos="1080"/>
        </w:tabs>
        <w:spacing w:before="0" w:after="0"/>
        <w:ind w:left="1170" w:hanging="630"/>
        <w:jc w:val="both"/>
        <w:rPr>
          <w:rFonts w:eastAsia="Times New Roman" w:cs="Times New Roman"/>
          <w:color w:val="000000"/>
          <w:szCs w:val="24"/>
        </w:rPr>
      </w:pPr>
      <w:r w:rsidRPr="00C8149F">
        <w:rPr>
          <w:rFonts w:eastAsia="Times New Roman" w:cs="Times New Roman"/>
          <w:color w:val="000000"/>
          <w:szCs w:val="24"/>
        </w:rPr>
        <w:t>font style: Garamond;</w:t>
      </w:r>
    </w:p>
    <w:p w:rsidR="006D3F86" w:rsidRPr="00C8149F" w:rsidRDefault="006D3F86" w:rsidP="00C8149F">
      <w:pPr>
        <w:pStyle w:val="ListParagraph"/>
        <w:numPr>
          <w:ilvl w:val="1"/>
          <w:numId w:val="3"/>
        </w:numPr>
        <w:tabs>
          <w:tab w:val="left" w:pos="0"/>
          <w:tab w:val="left" w:pos="540"/>
          <w:tab w:val="left" w:pos="720"/>
          <w:tab w:val="left" w:pos="1080"/>
        </w:tabs>
        <w:spacing w:before="0" w:after="0"/>
        <w:ind w:left="1170" w:hanging="630"/>
        <w:jc w:val="both"/>
        <w:rPr>
          <w:rFonts w:eastAsia="Times New Roman" w:cs="Times New Roman"/>
          <w:color w:val="000000"/>
          <w:szCs w:val="24"/>
        </w:rPr>
      </w:pPr>
      <w:r w:rsidRPr="00C8149F">
        <w:rPr>
          <w:rFonts w:eastAsia="Times New Roman" w:cs="Times New Roman"/>
          <w:color w:val="000000"/>
          <w:szCs w:val="24"/>
        </w:rPr>
        <w:t>font size: 12;</w:t>
      </w:r>
    </w:p>
    <w:p w:rsidR="006D3F86" w:rsidRPr="00C8149F" w:rsidRDefault="006D3F86" w:rsidP="00C8149F">
      <w:pPr>
        <w:pStyle w:val="ListParagraph"/>
        <w:numPr>
          <w:ilvl w:val="1"/>
          <w:numId w:val="3"/>
        </w:numPr>
        <w:tabs>
          <w:tab w:val="left" w:pos="0"/>
          <w:tab w:val="left" w:pos="540"/>
          <w:tab w:val="left" w:pos="720"/>
          <w:tab w:val="left" w:pos="1080"/>
        </w:tabs>
        <w:spacing w:before="0" w:after="0"/>
        <w:ind w:left="1170" w:hanging="630"/>
        <w:jc w:val="both"/>
        <w:rPr>
          <w:rFonts w:eastAsia="Times New Roman" w:cs="Times New Roman"/>
          <w:color w:val="000000"/>
          <w:szCs w:val="24"/>
        </w:rPr>
      </w:pPr>
      <w:r w:rsidRPr="00C8149F">
        <w:rPr>
          <w:rFonts w:eastAsia="Times New Roman" w:cs="Times New Roman"/>
          <w:color w:val="000000"/>
          <w:szCs w:val="24"/>
        </w:rPr>
        <w:t>line spacing: 1.5;and</w:t>
      </w:r>
    </w:p>
    <w:p w:rsidR="007B4804" w:rsidRPr="00C8149F" w:rsidRDefault="006D3F86" w:rsidP="00C8149F">
      <w:pPr>
        <w:pStyle w:val="ListParagraph"/>
        <w:numPr>
          <w:ilvl w:val="1"/>
          <w:numId w:val="3"/>
        </w:numPr>
        <w:tabs>
          <w:tab w:val="left" w:pos="0"/>
          <w:tab w:val="left" w:pos="540"/>
          <w:tab w:val="left" w:pos="720"/>
          <w:tab w:val="left" w:pos="1080"/>
        </w:tabs>
        <w:spacing w:before="0" w:after="0"/>
        <w:ind w:left="1170" w:hanging="630"/>
        <w:jc w:val="both"/>
        <w:rPr>
          <w:rFonts w:eastAsia="Times New Roman" w:cs="Times New Roman"/>
          <w:color w:val="000000"/>
          <w:szCs w:val="24"/>
        </w:rPr>
      </w:pPr>
      <w:proofErr w:type="gramStart"/>
      <w:r w:rsidRPr="00C8149F">
        <w:rPr>
          <w:rFonts w:eastAsia="Times New Roman" w:cs="Times New Roman"/>
          <w:color w:val="000000"/>
          <w:szCs w:val="24"/>
        </w:rPr>
        <w:t>headings</w:t>
      </w:r>
      <w:proofErr w:type="gramEnd"/>
      <w:r w:rsidRPr="00C8149F">
        <w:rPr>
          <w:rFonts w:eastAsia="Times New Roman" w:cs="Times New Roman"/>
          <w:color w:val="000000"/>
          <w:szCs w:val="24"/>
        </w:rPr>
        <w:t xml:space="preserve"> and sub-headings in the document must be formatted in a uniform style.</w:t>
      </w:r>
    </w:p>
    <w:p w:rsidR="007B4804" w:rsidRPr="00C8149F" w:rsidRDefault="006D3F86" w:rsidP="00C8149F">
      <w:pPr>
        <w:pStyle w:val="ListParagraph"/>
        <w:numPr>
          <w:ilvl w:val="0"/>
          <w:numId w:val="3"/>
        </w:numPr>
        <w:tabs>
          <w:tab w:val="left" w:pos="0"/>
          <w:tab w:val="left" w:pos="540"/>
          <w:tab w:val="left" w:pos="720"/>
          <w:tab w:val="left" w:pos="1080"/>
        </w:tabs>
        <w:spacing w:before="0" w:after="0"/>
        <w:ind w:left="540"/>
        <w:jc w:val="both"/>
        <w:rPr>
          <w:rFonts w:eastAsia="Times New Roman" w:cs="Times New Roman"/>
          <w:color w:val="000000"/>
          <w:szCs w:val="24"/>
        </w:rPr>
      </w:pPr>
      <w:r w:rsidRPr="00C8149F">
        <w:rPr>
          <w:rFonts w:eastAsia="Times New Roman" w:cs="Times New Roman"/>
          <w:color w:val="000000"/>
          <w:szCs w:val="24"/>
        </w:rPr>
        <w:t>The footnotes within the manuscript must adhere to the following formatting guidelines:</w:t>
      </w:r>
    </w:p>
    <w:p w:rsidR="007B4804" w:rsidRPr="00C8149F" w:rsidRDefault="006D3F86" w:rsidP="00C8149F">
      <w:pPr>
        <w:pStyle w:val="ListParagraph"/>
        <w:numPr>
          <w:ilvl w:val="1"/>
          <w:numId w:val="3"/>
        </w:numPr>
        <w:tabs>
          <w:tab w:val="left" w:pos="0"/>
          <w:tab w:val="left" w:pos="540"/>
          <w:tab w:val="left" w:pos="720"/>
          <w:tab w:val="left" w:pos="1080"/>
        </w:tabs>
        <w:spacing w:before="0" w:after="0"/>
        <w:ind w:left="1170" w:hanging="630"/>
        <w:jc w:val="both"/>
        <w:rPr>
          <w:rFonts w:eastAsia="Times New Roman" w:cs="Times New Roman"/>
          <w:color w:val="000000"/>
          <w:szCs w:val="24"/>
        </w:rPr>
      </w:pPr>
      <w:r w:rsidRPr="006D3F86">
        <w:rPr>
          <w:rFonts w:eastAsia="Times New Roman" w:cs="Times New Roman"/>
          <w:color w:val="000000"/>
          <w:szCs w:val="24"/>
        </w:rPr>
        <w:t>font style: Garamond;</w:t>
      </w:r>
    </w:p>
    <w:p w:rsidR="007B4804" w:rsidRPr="00C8149F" w:rsidRDefault="006D3F86" w:rsidP="00C8149F">
      <w:pPr>
        <w:pStyle w:val="ListParagraph"/>
        <w:numPr>
          <w:ilvl w:val="1"/>
          <w:numId w:val="3"/>
        </w:numPr>
        <w:tabs>
          <w:tab w:val="left" w:pos="0"/>
          <w:tab w:val="left" w:pos="540"/>
          <w:tab w:val="left" w:pos="720"/>
          <w:tab w:val="left" w:pos="1080"/>
        </w:tabs>
        <w:spacing w:before="0" w:after="0"/>
        <w:ind w:left="1170" w:hanging="630"/>
        <w:jc w:val="both"/>
        <w:rPr>
          <w:rFonts w:eastAsia="Times New Roman" w:cs="Times New Roman"/>
          <w:color w:val="000000"/>
          <w:szCs w:val="24"/>
        </w:rPr>
      </w:pPr>
      <w:r w:rsidRPr="00C8149F">
        <w:rPr>
          <w:rFonts w:eastAsia="Times New Roman" w:cs="Times New Roman"/>
          <w:color w:val="000000"/>
          <w:szCs w:val="24"/>
        </w:rPr>
        <w:t>font size: 10;</w:t>
      </w:r>
    </w:p>
    <w:p w:rsidR="007B4804" w:rsidRPr="00C8149F" w:rsidRDefault="006D3F86" w:rsidP="00C8149F">
      <w:pPr>
        <w:pStyle w:val="ListParagraph"/>
        <w:numPr>
          <w:ilvl w:val="1"/>
          <w:numId w:val="3"/>
        </w:numPr>
        <w:tabs>
          <w:tab w:val="left" w:pos="0"/>
          <w:tab w:val="left" w:pos="540"/>
          <w:tab w:val="left" w:pos="720"/>
          <w:tab w:val="left" w:pos="1080"/>
        </w:tabs>
        <w:spacing w:before="0" w:after="0"/>
        <w:ind w:left="1170" w:hanging="630"/>
        <w:jc w:val="both"/>
        <w:rPr>
          <w:rFonts w:eastAsia="Times New Roman" w:cs="Times New Roman"/>
          <w:color w:val="000000"/>
          <w:szCs w:val="24"/>
        </w:rPr>
      </w:pPr>
      <w:r w:rsidRPr="00C8149F">
        <w:rPr>
          <w:rFonts w:eastAsia="Times New Roman" w:cs="Times New Roman"/>
          <w:color w:val="000000"/>
          <w:szCs w:val="24"/>
        </w:rPr>
        <w:t>line spacing: 1.0;</w:t>
      </w:r>
    </w:p>
    <w:p w:rsidR="007B4804" w:rsidRPr="00C8149F" w:rsidRDefault="006D3F86" w:rsidP="00C8149F">
      <w:pPr>
        <w:pStyle w:val="ListParagraph"/>
        <w:numPr>
          <w:ilvl w:val="1"/>
          <w:numId w:val="3"/>
        </w:numPr>
        <w:tabs>
          <w:tab w:val="left" w:pos="0"/>
          <w:tab w:val="left" w:pos="540"/>
          <w:tab w:val="left" w:pos="720"/>
          <w:tab w:val="left" w:pos="1080"/>
        </w:tabs>
        <w:spacing w:before="0" w:after="0"/>
        <w:ind w:left="1170" w:hanging="630"/>
        <w:jc w:val="both"/>
        <w:rPr>
          <w:rFonts w:eastAsia="Times New Roman" w:cs="Times New Roman"/>
          <w:color w:val="000000"/>
          <w:szCs w:val="24"/>
        </w:rPr>
      </w:pPr>
      <w:r w:rsidRPr="00C8149F">
        <w:rPr>
          <w:rFonts w:eastAsia="Times New Roman" w:cs="Times New Roman"/>
          <w:color w:val="000000"/>
          <w:szCs w:val="24"/>
        </w:rPr>
        <w:t>citation style: Uniform System of Citation (20th ed. of Bluebook); and</w:t>
      </w:r>
    </w:p>
    <w:p w:rsidR="006D3F86" w:rsidRPr="00C8149F" w:rsidRDefault="006D3F86" w:rsidP="00C8149F">
      <w:pPr>
        <w:pStyle w:val="ListParagraph"/>
        <w:numPr>
          <w:ilvl w:val="1"/>
          <w:numId w:val="3"/>
        </w:numPr>
        <w:tabs>
          <w:tab w:val="left" w:pos="0"/>
          <w:tab w:val="left" w:pos="540"/>
          <w:tab w:val="left" w:pos="720"/>
          <w:tab w:val="left" w:pos="1080"/>
        </w:tabs>
        <w:spacing w:before="0" w:after="0"/>
        <w:ind w:left="1170" w:hanging="630"/>
        <w:jc w:val="both"/>
        <w:rPr>
          <w:rFonts w:eastAsia="Times New Roman" w:cs="Times New Roman"/>
          <w:color w:val="000000"/>
          <w:szCs w:val="24"/>
        </w:rPr>
      </w:pPr>
      <w:proofErr w:type="gramStart"/>
      <w:r w:rsidRPr="00C8149F">
        <w:rPr>
          <w:rFonts w:eastAsia="Times New Roman" w:cs="Times New Roman"/>
          <w:color w:val="000000"/>
          <w:szCs w:val="24"/>
        </w:rPr>
        <w:t>use</w:t>
      </w:r>
      <w:proofErr w:type="gramEnd"/>
      <w:r w:rsidRPr="00C8149F">
        <w:rPr>
          <w:rFonts w:eastAsia="Times New Roman" w:cs="Times New Roman"/>
          <w:color w:val="000000"/>
          <w:szCs w:val="24"/>
        </w:rPr>
        <w:t xml:space="preserve"> of speaking footnotes and end-notes is discouraged.</w:t>
      </w:r>
    </w:p>
    <w:p w:rsidR="007B4804" w:rsidRPr="00C8149F" w:rsidRDefault="006D3F86" w:rsidP="00C8149F">
      <w:pPr>
        <w:pStyle w:val="ListParagraph"/>
        <w:numPr>
          <w:ilvl w:val="0"/>
          <w:numId w:val="3"/>
        </w:numPr>
        <w:spacing w:before="0" w:after="0"/>
        <w:ind w:left="540"/>
        <w:jc w:val="both"/>
        <w:rPr>
          <w:rFonts w:eastAsia="Times New Roman" w:cs="Times New Roman"/>
          <w:color w:val="000000"/>
          <w:szCs w:val="24"/>
        </w:rPr>
      </w:pPr>
      <w:r w:rsidRPr="00C8149F">
        <w:rPr>
          <w:rFonts w:eastAsia="Times New Roman" w:cs="Times New Roman"/>
          <w:color w:val="000000"/>
          <w:szCs w:val="24"/>
        </w:rPr>
        <w:lastRenderedPageBreak/>
        <w:t>The first page of the manuscript should only contain the title of the paper, followed by the 200-word abstract. The second page must contain a table of contents, and the main body of the manuscript should begin immediately thereafter. </w:t>
      </w:r>
    </w:p>
    <w:p w:rsidR="007B4804" w:rsidRPr="00C8149F" w:rsidRDefault="006D3F86" w:rsidP="00C8149F">
      <w:pPr>
        <w:pStyle w:val="ListParagraph"/>
        <w:numPr>
          <w:ilvl w:val="0"/>
          <w:numId w:val="3"/>
        </w:numPr>
        <w:spacing w:before="0" w:after="0"/>
        <w:ind w:left="540"/>
        <w:jc w:val="both"/>
        <w:rPr>
          <w:rFonts w:eastAsia="Times New Roman" w:cs="Times New Roman"/>
          <w:color w:val="000000"/>
          <w:szCs w:val="24"/>
        </w:rPr>
      </w:pPr>
      <w:r w:rsidRPr="00C8149F">
        <w:rPr>
          <w:rFonts w:eastAsia="Times New Roman" w:cs="Times New Roman"/>
          <w:color w:val="000000"/>
          <w:szCs w:val="24"/>
        </w:rPr>
        <w:t>Submissions made under the category of Notes and Comments are exempting inclusion of an abstract.</w:t>
      </w:r>
    </w:p>
    <w:p w:rsidR="006D3F86" w:rsidRPr="00C8149F" w:rsidRDefault="006D3F86" w:rsidP="00C8149F">
      <w:pPr>
        <w:pStyle w:val="ListParagraph"/>
        <w:numPr>
          <w:ilvl w:val="0"/>
          <w:numId w:val="3"/>
        </w:numPr>
        <w:spacing w:before="0" w:after="0"/>
        <w:ind w:left="540"/>
        <w:jc w:val="both"/>
        <w:rPr>
          <w:rFonts w:eastAsia="Times New Roman" w:cs="Times New Roman"/>
          <w:color w:val="000000"/>
          <w:szCs w:val="24"/>
        </w:rPr>
      </w:pPr>
      <w:r w:rsidRPr="00C8149F">
        <w:rPr>
          <w:rFonts w:eastAsia="Times New Roman" w:cs="Times New Roman"/>
          <w:color w:val="000000"/>
          <w:szCs w:val="24"/>
        </w:rPr>
        <w:t>Submissions must adhere to the prescribed guidelines for the relevant category.</w:t>
      </w:r>
    </w:p>
    <w:p w:rsidR="006D3F86" w:rsidRPr="00C8149F" w:rsidRDefault="007B4804" w:rsidP="00C8149F">
      <w:pPr>
        <w:pStyle w:val="Heading2"/>
        <w:spacing w:before="0"/>
        <w:jc w:val="both"/>
        <w:rPr>
          <w:rFonts w:cs="Times New Roman"/>
          <w:szCs w:val="24"/>
        </w:rPr>
      </w:pPr>
      <w:r w:rsidRPr="00C8149F">
        <w:rPr>
          <w:rFonts w:cs="Times New Roman"/>
          <w:szCs w:val="24"/>
        </w:rPr>
        <w:t>Editorial Policy</w:t>
      </w:r>
    </w:p>
    <w:p w:rsidR="007B4804" w:rsidRPr="00C8149F" w:rsidRDefault="007B4804" w:rsidP="00C8149F">
      <w:pPr>
        <w:pStyle w:val="ListParagraph"/>
        <w:numPr>
          <w:ilvl w:val="3"/>
          <w:numId w:val="7"/>
        </w:numPr>
        <w:spacing w:before="0" w:after="0"/>
        <w:ind w:left="540"/>
        <w:jc w:val="both"/>
        <w:rPr>
          <w:rFonts w:eastAsia="Times New Roman" w:cs="Times New Roman"/>
          <w:color w:val="000000"/>
          <w:szCs w:val="24"/>
        </w:rPr>
      </w:pPr>
      <w:r w:rsidRPr="00C8149F">
        <w:rPr>
          <w:rFonts w:eastAsia="Times New Roman" w:cs="Times New Roman"/>
          <w:color w:val="000000"/>
          <w:szCs w:val="24"/>
        </w:rPr>
        <w:t>The authors must obtain permission for any republication/reprint of the accepted manuscripts on other platforms from the Board of Editors of the Review in writing.</w:t>
      </w:r>
    </w:p>
    <w:p w:rsidR="007B4804" w:rsidRPr="00C8149F" w:rsidRDefault="007B4804" w:rsidP="00C8149F">
      <w:pPr>
        <w:pStyle w:val="ListParagraph"/>
        <w:numPr>
          <w:ilvl w:val="3"/>
          <w:numId w:val="5"/>
        </w:numPr>
        <w:spacing w:before="0" w:after="0"/>
        <w:ind w:left="540"/>
        <w:jc w:val="both"/>
        <w:rPr>
          <w:rFonts w:eastAsia="Times New Roman" w:cs="Times New Roman"/>
          <w:color w:val="000000"/>
          <w:szCs w:val="24"/>
        </w:rPr>
      </w:pPr>
      <w:r w:rsidRPr="00C8149F">
        <w:rPr>
          <w:rFonts w:eastAsia="Times New Roman" w:cs="Times New Roman"/>
          <w:color w:val="000000"/>
          <w:szCs w:val="24"/>
        </w:rPr>
        <w:t xml:space="preserve">The Review follows three stages of blind peer review procedure. At the first stage, the senior members of the Board of Editors undertake a preliminary review of the articles. The shortlisted submissions, in the second stage, are reviewed by the Copy Editors and the Content Editors of the Board of Editors. The review of the manuscript in at this stage is based on </w:t>
      </w:r>
      <w:r w:rsidRPr="00C8149F">
        <w:rPr>
          <w:rFonts w:eastAsia="Times New Roman" w:cs="Times New Roman"/>
          <w:iCs/>
          <w:color w:val="000000"/>
          <w:szCs w:val="24"/>
        </w:rPr>
        <w:t>criteria such as</w:t>
      </w:r>
      <w:r w:rsidRPr="00C8149F">
        <w:rPr>
          <w:rFonts w:eastAsia="Times New Roman" w:cs="Times New Roman"/>
          <w:color w:val="000000"/>
          <w:szCs w:val="24"/>
        </w:rPr>
        <w:t xml:space="preserve"> plagiarism, grammar, structure, relevance of the submissions. The submissions shortlisted by the copy and the content editors are then reviewed by the Senior Editors at the third stage of the review process in consultation with the other members of the Board of Editors. At this stage, the review is based on the quality, and veracity of the </w:t>
      </w:r>
      <w:proofErr w:type="gramStart"/>
      <w:r w:rsidRPr="00C8149F">
        <w:rPr>
          <w:rFonts w:eastAsia="Times New Roman" w:cs="Times New Roman"/>
          <w:color w:val="000000"/>
          <w:szCs w:val="24"/>
        </w:rPr>
        <w:t>content,</w:t>
      </w:r>
      <w:proofErr w:type="gramEnd"/>
      <w:r w:rsidRPr="00C8149F">
        <w:rPr>
          <w:rFonts w:eastAsia="Times New Roman" w:cs="Times New Roman"/>
          <w:color w:val="000000"/>
          <w:szCs w:val="24"/>
        </w:rPr>
        <w:t xml:space="preserve"> or any other aspect as may be required. The three stages of the review, although time consuming, ensures the quality of content for the manuscripts selected for publication.</w:t>
      </w:r>
    </w:p>
    <w:p w:rsidR="007B4804" w:rsidRPr="00C8149F" w:rsidRDefault="007B4804" w:rsidP="00C8149F">
      <w:pPr>
        <w:pStyle w:val="ListParagraph"/>
        <w:numPr>
          <w:ilvl w:val="3"/>
          <w:numId w:val="5"/>
        </w:numPr>
        <w:spacing w:before="0" w:after="0"/>
        <w:ind w:left="540"/>
        <w:jc w:val="both"/>
        <w:rPr>
          <w:rFonts w:eastAsia="Times New Roman" w:cs="Times New Roman"/>
          <w:color w:val="000000"/>
          <w:szCs w:val="24"/>
        </w:rPr>
      </w:pPr>
      <w:r w:rsidRPr="00C8149F">
        <w:rPr>
          <w:rFonts w:eastAsia="Times New Roman" w:cs="Times New Roman"/>
          <w:color w:val="000000"/>
          <w:szCs w:val="24"/>
        </w:rPr>
        <w:t>In order to ensure transparency, the Review shall endeavor to notify the authors after completion of each stage.</w:t>
      </w:r>
    </w:p>
    <w:p w:rsidR="007B4804" w:rsidRPr="00C8149F" w:rsidRDefault="007B4804" w:rsidP="00C8149F">
      <w:pPr>
        <w:pStyle w:val="ListParagraph"/>
        <w:numPr>
          <w:ilvl w:val="3"/>
          <w:numId w:val="5"/>
        </w:numPr>
        <w:spacing w:before="0" w:after="0"/>
        <w:ind w:left="540"/>
        <w:jc w:val="both"/>
        <w:rPr>
          <w:rFonts w:eastAsia="Times New Roman" w:cs="Times New Roman"/>
          <w:szCs w:val="24"/>
        </w:rPr>
      </w:pPr>
      <w:r w:rsidRPr="00C8149F">
        <w:rPr>
          <w:rFonts w:eastAsia="Times New Roman" w:cs="Times New Roman"/>
          <w:color w:val="000000"/>
          <w:szCs w:val="24"/>
        </w:rPr>
        <w:t>The Review does not entertain any request for decisions/suggestions based on abstract, proposal of topic, proposed outline of the manuscript, or on any other bases. The decision to accept or reject the manuscript will be taken only after the submission, and review of the said manuscript in the manner referred to in the paragraph number 2 above.</w:t>
      </w:r>
    </w:p>
    <w:p w:rsidR="007B4804" w:rsidRPr="00C8149F" w:rsidRDefault="007B4804" w:rsidP="00C8149F">
      <w:pPr>
        <w:pStyle w:val="ListParagraph"/>
        <w:numPr>
          <w:ilvl w:val="3"/>
          <w:numId w:val="5"/>
        </w:numPr>
        <w:spacing w:before="0" w:after="0"/>
        <w:ind w:left="540"/>
        <w:jc w:val="both"/>
        <w:rPr>
          <w:rFonts w:eastAsia="Times New Roman" w:cs="Times New Roman"/>
          <w:szCs w:val="24"/>
        </w:rPr>
      </w:pPr>
      <w:r w:rsidRPr="00C8149F">
        <w:rPr>
          <w:rFonts w:eastAsia="Times New Roman" w:cs="Times New Roman"/>
          <w:color w:val="000000"/>
          <w:szCs w:val="24"/>
        </w:rPr>
        <w:t>After the successful completion of review of a manuscript, the authors may be requested to incorporate some changes suggested by the Board of Editors.</w:t>
      </w:r>
      <w:r w:rsidRPr="00C8149F">
        <w:rPr>
          <w:rFonts w:eastAsia="Times New Roman" w:cs="Times New Roman"/>
          <w:szCs w:val="24"/>
        </w:rPr>
        <w:t xml:space="preserve"> </w:t>
      </w:r>
      <w:r w:rsidRPr="00C8149F">
        <w:rPr>
          <w:rFonts w:eastAsia="Times New Roman" w:cs="Times New Roman"/>
          <w:color w:val="000000"/>
          <w:szCs w:val="24"/>
        </w:rPr>
        <w:t>At the discretion of the Board of Editors, the final acceptance of the manuscript may be made contingent on incorporation of the suggested changes to the satisfaction of the Board of Editors.</w:t>
      </w:r>
    </w:p>
    <w:p w:rsidR="007B4804" w:rsidRPr="00C8149F" w:rsidRDefault="007B4804" w:rsidP="00C8149F">
      <w:pPr>
        <w:pStyle w:val="ListParagraph"/>
        <w:numPr>
          <w:ilvl w:val="3"/>
          <w:numId w:val="5"/>
        </w:numPr>
        <w:spacing w:before="0" w:after="0"/>
        <w:ind w:left="540"/>
        <w:jc w:val="both"/>
        <w:rPr>
          <w:rFonts w:eastAsia="Times New Roman" w:cs="Times New Roman"/>
          <w:szCs w:val="24"/>
        </w:rPr>
      </w:pPr>
      <w:r w:rsidRPr="00C8149F">
        <w:rPr>
          <w:rFonts w:eastAsia="Times New Roman" w:cs="Times New Roman"/>
          <w:color w:val="000000"/>
          <w:szCs w:val="24"/>
        </w:rPr>
        <w:t>The Review reserves the right to request for copies of resources or authorities cited in the manuscript.</w:t>
      </w:r>
    </w:p>
    <w:p w:rsidR="007B4804" w:rsidRPr="00C8149F" w:rsidRDefault="007B4804" w:rsidP="00C8149F">
      <w:pPr>
        <w:pStyle w:val="ListParagraph"/>
        <w:numPr>
          <w:ilvl w:val="3"/>
          <w:numId w:val="5"/>
        </w:numPr>
        <w:spacing w:before="0" w:after="0"/>
        <w:ind w:left="540"/>
        <w:jc w:val="both"/>
        <w:rPr>
          <w:rFonts w:eastAsia="Times New Roman" w:cs="Times New Roman"/>
          <w:szCs w:val="24"/>
        </w:rPr>
      </w:pPr>
      <w:r w:rsidRPr="00C8149F">
        <w:rPr>
          <w:rFonts w:eastAsia="Times New Roman" w:cs="Times New Roman"/>
          <w:color w:val="000000"/>
          <w:szCs w:val="24"/>
        </w:rPr>
        <w:lastRenderedPageBreak/>
        <w:t>The Review retains absolute discretion in relation to acceptance/rejection of the submissions.</w:t>
      </w:r>
    </w:p>
    <w:p w:rsidR="007B4804" w:rsidRPr="00C8149F" w:rsidRDefault="007B4804" w:rsidP="00C8149F">
      <w:pPr>
        <w:pStyle w:val="ListParagraph"/>
        <w:numPr>
          <w:ilvl w:val="3"/>
          <w:numId w:val="5"/>
        </w:numPr>
        <w:spacing w:before="0" w:after="0"/>
        <w:ind w:left="540"/>
        <w:jc w:val="both"/>
        <w:rPr>
          <w:rFonts w:eastAsia="Times New Roman" w:cs="Times New Roman"/>
          <w:szCs w:val="24"/>
        </w:rPr>
      </w:pPr>
      <w:r w:rsidRPr="00C8149F">
        <w:rPr>
          <w:rFonts w:eastAsia="Times New Roman" w:cs="Times New Roman"/>
          <w:color w:val="000000"/>
          <w:szCs w:val="24"/>
        </w:rPr>
        <w:t>Kindly note that the editorial process will commence only after the deadline for submission of manuscripts.</w:t>
      </w:r>
    </w:p>
    <w:p w:rsidR="00C8149F" w:rsidRPr="00C8149F" w:rsidRDefault="00C8149F" w:rsidP="00C8149F">
      <w:pPr>
        <w:pStyle w:val="Heading1"/>
        <w:rPr>
          <w:rFonts w:eastAsia="Times New Roman" w:cs="Times New Roman"/>
          <w:szCs w:val="24"/>
        </w:rPr>
      </w:pPr>
      <w:r w:rsidRPr="00C8149F">
        <w:rPr>
          <w:rFonts w:eastAsia="Times New Roman" w:cs="Times New Roman"/>
          <w:szCs w:val="24"/>
        </w:rPr>
        <w:t>Contact information</w:t>
      </w:r>
    </w:p>
    <w:p w:rsidR="00C8149F" w:rsidRPr="00C8149F" w:rsidRDefault="00C8149F" w:rsidP="00C8149F">
      <w:pPr>
        <w:pStyle w:val="04xlpa"/>
        <w:spacing w:before="0" w:beforeAutospacing="0" w:after="0" w:afterAutospacing="0" w:line="360" w:lineRule="auto"/>
        <w:rPr>
          <w:spacing w:val="10"/>
        </w:rPr>
      </w:pPr>
      <w:r w:rsidRPr="00C8149F">
        <w:rPr>
          <w:spacing w:val="10"/>
        </w:rPr>
        <w:t xml:space="preserve">All the queries can be addressed to: </w:t>
      </w:r>
      <w:proofErr w:type="spellStart"/>
      <w:proofErr w:type="gramStart"/>
      <w:r w:rsidRPr="00C8149F">
        <w:rPr>
          <w:spacing w:val="10"/>
        </w:rPr>
        <w:t>lawreviewnluj</w:t>
      </w:r>
      <w:proofErr w:type="spellEnd"/>
      <w:r w:rsidRPr="00C8149F">
        <w:rPr>
          <w:spacing w:val="10"/>
        </w:rPr>
        <w:t>[</w:t>
      </w:r>
      <w:proofErr w:type="gramEnd"/>
      <w:r w:rsidRPr="00C8149F">
        <w:rPr>
          <w:spacing w:val="10"/>
        </w:rPr>
        <w:t>at]gmail.com</w:t>
      </w:r>
    </w:p>
    <w:p w:rsidR="00C8149F" w:rsidRPr="00C8149F" w:rsidRDefault="00C8149F" w:rsidP="00C8149F">
      <w:pPr>
        <w:pStyle w:val="04xlpa"/>
        <w:spacing w:before="0" w:beforeAutospacing="0" w:after="0" w:afterAutospacing="0" w:line="360" w:lineRule="auto"/>
        <w:rPr>
          <w:spacing w:val="10"/>
        </w:rPr>
      </w:pPr>
      <w:r w:rsidRPr="00C8149F">
        <w:rPr>
          <w:spacing w:val="10"/>
        </w:rPr>
        <w:t>Alternatively, you may contact:</w:t>
      </w:r>
    </w:p>
    <w:p w:rsidR="00C8149F" w:rsidRPr="00C8149F" w:rsidRDefault="00C8149F" w:rsidP="00C8149F">
      <w:pPr>
        <w:pStyle w:val="04xlpa"/>
        <w:spacing w:before="0" w:beforeAutospacing="0" w:after="0" w:afterAutospacing="0" w:line="360" w:lineRule="auto"/>
        <w:rPr>
          <w:spacing w:val="10"/>
        </w:rPr>
      </w:pPr>
      <w:r w:rsidRPr="00C8149F">
        <w:rPr>
          <w:spacing w:val="10"/>
        </w:rPr>
        <w:t xml:space="preserve">Mr. Krishnan </w:t>
      </w:r>
      <w:proofErr w:type="spellStart"/>
      <w:r w:rsidRPr="00C8149F">
        <w:rPr>
          <w:spacing w:val="10"/>
        </w:rPr>
        <w:t>Sreekumar</w:t>
      </w:r>
      <w:proofErr w:type="spellEnd"/>
      <w:r w:rsidRPr="00C8149F">
        <w:rPr>
          <w:spacing w:val="10"/>
        </w:rPr>
        <w:t xml:space="preserve">: </w:t>
      </w:r>
      <w:proofErr w:type="gramStart"/>
      <w:r w:rsidRPr="00C8149F">
        <w:rPr>
          <w:spacing w:val="10"/>
        </w:rPr>
        <w:t>krishnansreekumar97[</w:t>
      </w:r>
      <w:proofErr w:type="gramEnd"/>
      <w:r w:rsidRPr="00C8149F">
        <w:rPr>
          <w:spacing w:val="10"/>
        </w:rPr>
        <w:t>at]gmail.com </w:t>
      </w:r>
    </w:p>
    <w:p w:rsidR="00C8149F" w:rsidRPr="00C8149F" w:rsidRDefault="00C8149F" w:rsidP="00C8149F">
      <w:pPr>
        <w:pStyle w:val="04xlpa"/>
        <w:spacing w:before="0" w:beforeAutospacing="0" w:after="0" w:afterAutospacing="0" w:line="360" w:lineRule="auto"/>
        <w:rPr>
          <w:spacing w:val="10"/>
        </w:rPr>
      </w:pPr>
      <w:r w:rsidRPr="00C8149F">
        <w:rPr>
          <w:spacing w:val="10"/>
        </w:rPr>
        <w:t xml:space="preserve">Ms. </w:t>
      </w:r>
      <w:proofErr w:type="spellStart"/>
      <w:r w:rsidRPr="00C8149F">
        <w:rPr>
          <w:spacing w:val="10"/>
        </w:rPr>
        <w:t>Amanee</w:t>
      </w:r>
      <w:proofErr w:type="spellEnd"/>
      <w:r w:rsidRPr="00C8149F">
        <w:rPr>
          <w:spacing w:val="10"/>
        </w:rPr>
        <w:t xml:space="preserve"> </w:t>
      </w:r>
      <w:proofErr w:type="spellStart"/>
      <w:r w:rsidRPr="00C8149F">
        <w:rPr>
          <w:spacing w:val="10"/>
        </w:rPr>
        <w:t>Kadakia</w:t>
      </w:r>
      <w:proofErr w:type="spellEnd"/>
      <w:r w:rsidRPr="00C8149F">
        <w:rPr>
          <w:spacing w:val="10"/>
        </w:rPr>
        <w:t xml:space="preserve">: </w:t>
      </w:r>
      <w:proofErr w:type="gramStart"/>
      <w:r w:rsidRPr="00C8149F">
        <w:rPr>
          <w:spacing w:val="10"/>
        </w:rPr>
        <w:t>amaneekadakia22[</w:t>
      </w:r>
      <w:proofErr w:type="gramEnd"/>
      <w:r w:rsidRPr="00C8149F">
        <w:rPr>
          <w:spacing w:val="10"/>
        </w:rPr>
        <w:t>at]gmail.com</w:t>
      </w:r>
    </w:p>
    <w:p w:rsidR="00C8149F" w:rsidRPr="00C8149F" w:rsidRDefault="00C8149F" w:rsidP="00C8149F">
      <w:pPr>
        <w:pStyle w:val="04xlpa"/>
        <w:spacing w:before="0" w:beforeAutospacing="0" w:after="0" w:afterAutospacing="0" w:line="360" w:lineRule="auto"/>
        <w:rPr>
          <w:spacing w:val="10"/>
        </w:rPr>
      </w:pPr>
      <w:r w:rsidRPr="00C8149F">
        <w:rPr>
          <w:spacing w:val="10"/>
        </w:rPr>
        <w:t xml:space="preserve">For any other updates and announcements about the journal, follow our social media pages on </w:t>
      </w:r>
      <w:hyperlink r:id="rId12" w:tgtFrame="_blank" w:history="1">
        <w:proofErr w:type="spellStart"/>
        <w:r w:rsidRPr="00C8149F">
          <w:rPr>
            <w:rStyle w:val="Hyperlink"/>
            <w:rFonts w:eastAsiaTheme="majorEastAsia"/>
            <w:color w:val="auto"/>
            <w:spacing w:val="10"/>
          </w:rPr>
          <w:t>facebook</w:t>
        </w:r>
        <w:proofErr w:type="spellEnd"/>
      </w:hyperlink>
      <w:r w:rsidRPr="00C8149F">
        <w:rPr>
          <w:spacing w:val="10"/>
        </w:rPr>
        <w:t xml:space="preserve">, and </w:t>
      </w:r>
      <w:hyperlink r:id="rId13" w:tgtFrame="_blank" w:history="1">
        <w:r w:rsidRPr="00C8149F">
          <w:rPr>
            <w:rStyle w:val="Hyperlink"/>
            <w:rFonts w:eastAsiaTheme="majorEastAsia"/>
            <w:color w:val="auto"/>
            <w:spacing w:val="10"/>
          </w:rPr>
          <w:t>LinkedIn</w:t>
        </w:r>
      </w:hyperlink>
      <w:r w:rsidRPr="00C8149F">
        <w:rPr>
          <w:spacing w:val="10"/>
        </w:rPr>
        <w:t>.</w:t>
      </w:r>
    </w:p>
    <w:p w:rsidR="00C8149F" w:rsidRPr="00C8149F" w:rsidRDefault="00C8149F" w:rsidP="00C8149F">
      <w:pPr>
        <w:rPr>
          <w:rFonts w:cs="Times New Roman"/>
          <w:szCs w:val="24"/>
        </w:rPr>
      </w:pPr>
    </w:p>
    <w:p w:rsidR="00C8149F" w:rsidRPr="00C8149F" w:rsidRDefault="00C8149F" w:rsidP="00C8149F">
      <w:pPr>
        <w:rPr>
          <w:rFonts w:cs="Times New Roman"/>
          <w:szCs w:val="24"/>
        </w:rPr>
      </w:pPr>
    </w:p>
    <w:p w:rsidR="007B4804" w:rsidRPr="00C8149F" w:rsidRDefault="007B4804" w:rsidP="00C8149F">
      <w:pPr>
        <w:spacing w:before="0"/>
        <w:ind w:left="540"/>
        <w:jc w:val="right"/>
        <w:rPr>
          <w:rFonts w:cs="Times New Roman"/>
          <w:szCs w:val="24"/>
        </w:rPr>
      </w:pPr>
    </w:p>
    <w:sectPr w:rsidR="007B4804" w:rsidRPr="00C8149F" w:rsidSect="00617EC3">
      <w:head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606" w:rsidRDefault="007A2606" w:rsidP="005A6B53">
      <w:pPr>
        <w:spacing w:before="0" w:after="0" w:line="240" w:lineRule="auto"/>
      </w:pPr>
      <w:r>
        <w:separator/>
      </w:r>
    </w:p>
  </w:endnote>
  <w:endnote w:type="continuationSeparator" w:id="0">
    <w:p w:rsidR="007A2606" w:rsidRDefault="007A2606" w:rsidP="005A6B53">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606" w:rsidRDefault="007A2606" w:rsidP="005A6B53">
      <w:pPr>
        <w:spacing w:before="0" w:after="0" w:line="240" w:lineRule="auto"/>
      </w:pPr>
      <w:r>
        <w:separator/>
      </w:r>
    </w:p>
  </w:footnote>
  <w:footnote w:type="continuationSeparator" w:id="0">
    <w:p w:rsidR="007A2606" w:rsidRDefault="007A2606" w:rsidP="005A6B53">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2877"/>
      <w:gridCol w:w="6713"/>
    </w:tblGrid>
    <w:tr w:rsidR="005A6B53">
      <w:tc>
        <w:tcPr>
          <w:tcW w:w="1500" w:type="pct"/>
          <w:tcBorders>
            <w:bottom w:val="single" w:sz="4" w:space="0" w:color="943634" w:themeColor="accent2" w:themeShade="BF"/>
          </w:tcBorders>
          <w:shd w:val="clear" w:color="auto" w:fill="943634" w:themeFill="accent2" w:themeFillShade="BF"/>
          <w:vAlign w:val="bottom"/>
        </w:tcPr>
        <w:p w:rsidR="005A6B53" w:rsidRDefault="005A6B53" w:rsidP="005A6B53">
          <w:pPr>
            <w:pStyle w:val="Header"/>
            <w:jc w:val="right"/>
            <w:rPr>
              <w:color w:val="FFFFFF" w:themeColor="background1"/>
            </w:rPr>
          </w:pPr>
          <w:r>
            <w:rPr>
              <w:color w:val="FFFFFF" w:themeColor="background1"/>
            </w:rPr>
            <w:t>Volume VII, Issue I</w:t>
          </w:r>
        </w:p>
      </w:tc>
      <w:tc>
        <w:tcPr>
          <w:tcW w:w="4000" w:type="pct"/>
          <w:tcBorders>
            <w:bottom w:val="single" w:sz="4" w:space="0" w:color="auto"/>
          </w:tcBorders>
          <w:vAlign w:val="bottom"/>
        </w:tcPr>
        <w:p w:rsidR="005A6B53" w:rsidRDefault="005A6B53" w:rsidP="005A6B53">
          <w:pPr>
            <w:pStyle w:val="Header"/>
            <w:rPr>
              <w:bCs/>
              <w:color w:val="76923C" w:themeColor="accent3" w:themeShade="BF"/>
              <w:szCs w:val="24"/>
            </w:rPr>
          </w:pPr>
          <w:sdt>
            <w:sdtPr>
              <w:rPr>
                <w:b/>
                <w:bCs/>
                <w:caps/>
                <w:szCs w:val="24"/>
              </w:rPr>
              <w:alias w:val="Title"/>
              <w:id w:val="77625180"/>
              <w:placeholder>
                <w:docPart w:val="67BC14694F21415A9E52C4CBB58875C2"/>
              </w:placeholder>
              <w:dataBinding w:prefixMappings="xmlns:ns0='http://schemas.openxmlformats.org/package/2006/metadata/core-properties' xmlns:ns1='http://purl.org/dc/elements/1.1/'" w:xpath="/ns0:coreProperties[1]/ns1:title[1]" w:storeItemID="{6C3C8BC8-F283-45AE-878A-BAB7291924A1}"/>
              <w:text/>
            </w:sdtPr>
            <w:sdtContent>
              <w:r>
                <w:rPr>
                  <w:b/>
                  <w:bCs/>
                  <w:caps/>
                  <w:szCs w:val="24"/>
                </w:rPr>
                <w:t>Call for Submissions – NLUJ Law Review</w:t>
              </w:r>
            </w:sdtContent>
          </w:sdt>
        </w:p>
      </w:tc>
    </w:tr>
  </w:tbl>
  <w:p w:rsidR="005A6B53" w:rsidRPr="005A6B53" w:rsidRDefault="005A6B53" w:rsidP="005A6B53">
    <w:pPr>
      <w:pStyle w:val="Heading1"/>
      <w:spacing w:before="0" w:line="240" w:lineRule="auto"/>
      <w:jc w:val="right"/>
      <w:rPr>
        <w:sz w:val="20"/>
        <w:szCs w:val="20"/>
      </w:rPr>
    </w:pPr>
    <w:r>
      <w:rPr>
        <w:caps w:val="0"/>
        <w:sz w:val="20"/>
        <w:szCs w:val="20"/>
      </w:rPr>
      <w:t>A</w:t>
    </w:r>
    <w:r w:rsidRPr="005A6B53">
      <w:rPr>
        <w:caps w:val="0"/>
        <w:sz w:val="20"/>
        <w:szCs w:val="20"/>
      </w:rPr>
      <w:t xml:space="preserve"> National Law University, Jodhpur (India) Publication</w:t>
    </w:r>
    <w:r>
      <w:rPr>
        <w:caps w:val="0"/>
        <w:sz w:val="20"/>
        <w:szCs w:val="20"/>
      </w:rPr>
      <w:t xml:space="preserve"> </w:t>
    </w:r>
    <w:r>
      <w:rPr>
        <w:caps w:val="0"/>
        <w:sz w:val="20"/>
        <w:szCs w:val="20"/>
      </w:rPr>
      <w:tab/>
    </w:r>
    <w:r>
      <w:rPr>
        <w:caps w:val="0"/>
        <w:sz w:val="20"/>
        <w:szCs w:val="20"/>
      </w:rPr>
      <w:tab/>
    </w:r>
    <w:r>
      <w:rPr>
        <w:caps w:val="0"/>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C521A"/>
    <w:multiLevelType w:val="hybridMultilevel"/>
    <w:tmpl w:val="0CC8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864194"/>
    <w:multiLevelType w:val="hybridMultilevel"/>
    <w:tmpl w:val="6C0A18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08A543F"/>
    <w:multiLevelType w:val="hybridMultilevel"/>
    <w:tmpl w:val="55925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457CDC"/>
    <w:multiLevelType w:val="hybridMultilevel"/>
    <w:tmpl w:val="CCC2C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DE97AA5"/>
    <w:multiLevelType w:val="hybridMultilevel"/>
    <w:tmpl w:val="A8DCAAA4"/>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6BCA0495"/>
    <w:multiLevelType w:val="hybridMultilevel"/>
    <w:tmpl w:val="F6C6A60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7956291F"/>
    <w:multiLevelType w:val="hybridMultilevel"/>
    <w:tmpl w:val="E18071A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6"/>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5534FE"/>
    <w:rsid w:val="002477DF"/>
    <w:rsid w:val="00373F2B"/>
    <w:rsid w:val="005534FE"/>
    <w:rsid w:val="005A6B53"/>
    <w:rsid w:val="00606C6E"/>
    <w:rsid w:val="00610CE5"/>
    <w:rsid w:val="00617EC3"/>
    <w:rsid w:val="006559EF"/>
    <w:rsid w:val="006D3F86"/>
    <w:rsid w:val="007A2606"/>
    <w:rsid w:val="007B4804"/>
    <w:rsid w:val="008438FE"/>
    <w:rsid w:val="008D7D66"/>
    <w:rsid w:val="00C8149F"/>
    <w:rsid w:val="00F611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7DF"/>
    <w:pPr>
      <w:spacing w:before="120" w:after="120" w:line="360" w:lineRule="auto"/>
    </w:pPr>
    <w:rPr>
      <w:rFonts w:ascii="Times New Roman" w:hAnsi="Times New Roman"/>
      <w:sz w:val="24"/>
    </w:rPr>
  </w:style>
  <w:style w:type="paragraph" w:styleId="Heading1">
    <w:name w:val="heading 1"/>
    <w:basedOn w:val="Normal"/>
    <w:next w:val="Normal"/>
    <w:link w:val="Heading1Char"/>
    <w:uiPriority w:val="9"/>
    <w:qFormat/>
    <w:rsid w:val="002477DF"/>
    <w:pPr>
      <w:keepNext/>
      <w:keepLines/>
      <w:spacing w:before="480" w:after="0"/>
      <w:jc w:val="center"/>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2477DF"/>
    <w:pPr>
      <w:keepNext/>
      <w:keepLines/>
      <w:spacing w:before="200" w:after="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7DF"/>
    <w:rPr>
      <w:rFonts w:ascii="Times New Roman" w:eastAsiaTheme="majorEastAsia" w:hAnsi="Times New Roman" w:cstheme="majorBidi"/>
      <w:b/>
      <w:bCs/>
      <w:caps/>
      <w:sz w:val="24"/>
      <w:szCs w:val="28"/>
    </w:rPr>
  </w:style>
  <w:style w:type="character" w:customStyle="1" w:styleId="Heading2Char">
    <w:name w:val="Heading 2 Char"/>
    <w:basedOn w:val="DefaultParagraphFont"/>
    <w:link w:val="Heading2"/>
    <w:uiPriority w:val="9"/>
    <w:rsid w:val="002477DF"/>
    <w:rPr>
      <w:rFonts w:ascii="Times New Roman" w:eastAsiaTheme="majorEastAsia" w:hAnsi="Times New Roman" w:cstheme="majorBidi"/>
      <w:b/>
      <w:bCs/>
      <w:sz w:val="24"/>
      <w:szCs w:val="26"/>
    </w:rPr>
  </w:style>
  <w:style w:type="paragraph" w:styleId="Subtitle">
    <w:name w:val="Subtitle"/>
    <w:basedOn w:val="Normal"/>
    <w:next w:val="Normal"/>
    <w:link w:val="SubtitleChar"/>
    <w:uiPriority w:val="11"/>
    <w:qFormat/>
    <w:rsid w:val="008438F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438FE"/>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8438FE"/>
    <w:pPr>
      <w:spacing w:after="0" w:line="240" w:lineRule="auto"/>
    </w:pPr>
  </w:style>
  <w:style w:type="character" w:styleId="SubtleEmphasis">
    <w:name w:val="Subtle Emphasis"/>
    <w:basedOn w:val="DefaultParagraphFont"/>
    <w:uiPriority w:val="19"/>
    <w:qFormat/>
    <w:rsid w:val="008438FE"/>
    <w:rPr>
      <w:i/>
      <w:iCs/>
      <w:color w:val="808080" w:themeColor="text1" w:themeTint="7F"/>
    </w:rPr>
  </w:style>
  <w:style w:type="paragraph" w:customStyle="1" w:styleId="04xlpa">
    <w:name w:val="_04xlpa"/>
    <w:basedOn w:val="Normal"/>
    <w:rsid w:val="005534FE"/>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5534FE"/>
    <w:pPr>
      <w:ind w:left="720"/>
      <w:contextualSpacing/>
    </w:pPr>
  </w:style>
  <w:style w:type="character" w:styleId="Hyperlink">
    <w:name w:val="Hyperlink"/>
    <w:basedOn w:val="DefaultParagraphFont"/>
    <w:uiPriority w:val="99"/>
    <w:semiHidden/>
    <w:unhideWhenUsed/>
    <w:rsid w:val="005534FE"/>
    <w:rPr>
      <w:color w:val="0000FF"/>
      <w:u w:val="single"/>
    </w:rPr>
  </w:style>
  <w:style w:type="character" w:customStyle="1" w:styleId="white-space-prewrap">
    <w:name w:val="white-space-prewrap"/>
    <w:basedOn w:val="DefaultParagraphFont"/>
    <w:rsid w:val="005534FE"/>
  </w:style>
  <w:style w:type="character" w:styleId="Emphasis">
    <w:name w:val="Emphasis"/>
    <w:basedOn w:val="DefaultParagraphFont"/>
    <w:uiPriority w:val="20"/>
    <w:qFormat/>
    <w:rsid w:val="007B4804"/>
    <w:rPr>
      <w:i/>
      <w:iCs/>
    </w:rPr>
  </w:style>
  <w:style w:type="paragraph" w:styleId="Header">
    <w:name w:val="header"/>
    <w:basedOn w:val="Normal"/>
    <w:link w:val="HeaderChar"/>
    <w:uiPriority w:val="99"/>
    <w:unhideWhenUsed/>
    <w:rsid w:val="005A6B5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A6B53"/>
    <w:rPr>
      <w:rFonts w:ascii="Times New Roman" w:hAnsi="Times New Roman"/>
      <w:sz w:val="24"/>
    </w:rPr>
  </w:style>
  <w:style w:type="paragraph" w:styleId="Footer">
    <w:name w:val="footer"/>
    <w:basedOn w:val="Normal"/>
    <w:link w:val="FooterChar"/>
    <w:uiPriority w:val="99"/>
    <w:semiHidden/>
    <w:unhideWhenUsed/>
    <w:rsid w:val="005A6B53"/>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5A6B53"/>
    <w:rPr>
      <w:rFonts w:ascii="Times New Roman" w:hAnsi="Times New Roman"/>
      <w:sz w:val="24"/>
    </w:rPr>
  </w:style>
  <w:style w:type="paragraph" w:styleId="BalloonText">
    <w:name w:val="Balloon Text"/>
    <w:basedOn w:val="Normal"/>
    <w:link w:val="BalloonTextChar"/>
    <w:uiPriority w:val="99"/>
    <w:semiHidden/>
    <w:unhideWhenUsed/>
    <w:rsid w:val="005A6B5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B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75006">
      <w:bodyDiv w:val="1"/>
      <w:marLeft w:val="0"/>
      <w:marRight w:val="0"/>
      <w:marTop w:val="0"/>
      <w:marBottom w:val="0"/>
      <w:divBdr>
        <w:top w:val="none" w:sz="0" w:space="0" w:color="auto"/>
        <w:left w:val="none" w:sz="0" w:space="0" w:color="auto"/>
        <w:bottom w:val="none" w:sz="0" w:space="0" w:color="auto"/>
        <w:right w:val="none" w:sz="0" w:space="0" w:color="auto"/>
      </w:divBdr>
    </w:div>
    <w:div w:id="238057571">
      <w:bodyDiv w:val="1"/>
      <w:marLeft w:val="0"/>
      <w:marRight w:val="0"/>
      <w:marTop w:val="0"/>
      <w:marBottom w:val="0"/>
      <w:divBdr>
        <w:top w:val="none" w:sz="0" w:space="0" w:color="auto"/>
        <w:left w:val="none" w:sz="0" w:space="0" w:color="auto"/>
        <w:bottom w:val="none" w:sz="0" w:space="0" w:color="auto"/>
        <w:right w:val="none" w:sz="0" w:space="0" w:color="auto"/>
      </w:divBdr>
    </w:div>
    <w:div w:id="781997570">
      <w:bodyDiv w:val="1"/>
      <w:marLeft w:val="0"/>
      <w:marRight w:val="0"/>
      <w:marTop w:val="0"/>
      <w:marBottom w:val="0"/>
      <w:divBdr>
        <w:top w:val="none" w:sz="0" w:space="0" w:color="auto"/>
        <w:left w:val="none" w:sz="0" w:space="0" w:color="auto"/>
        <w:bottom w:val="none" w:sz="0" w:space="0" w:color="auto"/>
        <w:right w:val="none" w:sz="0" w:space="0" w:color="auto"/>
      </w:divBdr>
    </w:div>
    <w:div w:id="912817011">
      <w:bodyDiv w:val="1"/>
      <w:marLeft w:val="0"/>
      <w:marRight w:val="0"/>
      <w:marTop w:val="0"/>
      <w:marBottom w:val="0"/>
      <w:divBdr>
        <w:top w:val="none" w:sz="0" w:space="0" w:color="auto"/>
        <w:left w:val="none" w:sz="0" w:space="0" w:color="auto"/>
        <w:bottom w:val="none" w:sz="0" w:space="0" w:color="auto"/>
        <w:right w:val="none" w:sz="0" w:space="0" w:color="auto"/>
      </w:divBdr>
    </w:div>
    <w:div w:id="1331562363">
      <w:bodyDiv w:val="1"/>
      <w:marLeft w:val="0"/>
      <w:marRight w:val="0"/>
      <w:marTop w:val="0"/>
      <w:marBottom w:val="0"/>
      <w:divBdr>
        <w:top w:val="none" w:sz="0" w:space="0" w:color="auto"/>
        <w:left w:val="none" w:sz="0" w:space="0" w:color="auto"/>
        <w:bottom w:val="none" w:sz="0" w:space="0" w:color="auto"/>
        <w:right w:val="none" w:sz="0" w:space="0" w:color="auto"/>
      </w:divBdr>
    </w:div>
    <w:div w:id="1457021554">
      <w:bodyDiv w:val="1"/>
      <w:marLeft w:val="0"/>
      <w:marRight w:val="0"/>
      <w:marTop w:val="0"/>
      <w:marBottom w:val="0"/>
      <w:divBdr>
        <w:top w:val="none" w:sz="0" w:space="0" w:color="auto"/>
        <w:left w:val="none" w:sz="0" w:space="0" w:color="auto"/>
        <w:bottom w:val="none" w:sz="0" w:space="0" w:color="auto"/>
        <w:right w:val="none" w:sz="0" w:space="0" w:color="auto"/>
      </w:divBdr>
    </w:div>
    <w:div w:id="1982340825">
      <w:bodyDiv w:val="1"/>
      <w:marLeft w:val="0"/>
      <w:marRight w:val="0"/>
      <w:marTop w:val="0"/>
      <w:marBottom w:val="0"/>
      <w:divBdr>
        <w:top w:val="none" w:sz="0" w:space="0" w:color="auto"/>
        <w:left w:val="none" w:sz="0" w:space="0" w:color="auto"/>
        <w:bottom w:val="none" w:sz="0" w:space="0" w:color="auto"/>
        <w:right w:val="none" w:sz="0" w:space="0" w:color="auto"/>
      </w:divBdr>
    </w:div>
    <w:div w:id="201702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inkedin.com/in/nluj-law-review-1132b5106/"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facebook.com/LawReviewNLUJ/"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google.com/forms/d/1D4w-57wYHz57_6jqxz0xOfR9w0ZOMwxMFnOGM01QL6Q"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cs.google.com/forms/d/1D4w-57wYHz57_6jqxz0xOfR9w0ZOMwxMFnOGM01QL6Q/edit" TargetMode="External"/><Relationship Id="rId4" Type="http://schemas.openxmlformats.org/officeDocument/2006/relationships/styles" Target="styles.xml"/><Relationship Id="rId9" Type="http://schemas.openxmlformats.org/officeDocument/2006/relationships/hyperlink" Target="https://docs.google.com/forms/d/1D4w-57wYHz57_6jqxz0xOfR9w0ZOMwxMFnOGM01QL6Q/edit"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7BC14694F21415A9E52C4CBB58875C2"/>
        <w:category>
          <w:name w:val="General"/>
          <w:gallery w:val="placeholder"/>
        </w:category>
        <w:types>
          <w:type w:val="bbPlcHdr"/>
        </w:types>
        <w:behaviors>
          <w:behavior w:val="content"/>
        </w:behaviors>
        <w:guid w:val="{2571376D-418D-474E-BC98-1F23F81B82E6}"/>
      </w:docPartPr>
      <w:docPartBody>
        <w:p w:rsidR="00000000" w:rsidRDefault="006A7034" w:rsidP="006A7034">
          <w:pPr>
            <w:pStyle w:val="67BC14694F21415A9E52C4CBB58875C2"/>
          </w:pPr>
          <w:r>
            <w:rPr>
              <w:b/>
              <w:bCs/>
              <w:caps/>
              <w:sz w:val="24"/>
              <w:szCs w:val="24"/>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A7034"/>
    <w:rsid w:val="00132A9E"/>
    <w:rsid w:val="006A7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6B9EB580DC4CAFA17AEF97334330CB">
    <w:name w:val="9D6B9EB580DC4CAFA17AEF97334330CB"/>
    <w:rsid w:val="006A7034"/>
  </w:style>
  <w:style w:type="paragraph" w:customStyle="1" w:styleId="6B2467519AF44F298A97446B8C75B4DA">
    <w:name w:val="6B2467519AF44F298A97446B8C75B4DA"/>
    <w:rsid w:val="006A7034"/>
  </w:style>
  <w:style w:type="paragraph" w:customStyle="1" w:styleId="699F39D4CD9941979F777E3CC17E567A">
    <w:name w:val="699F39D4CD9941979F777E3CC17E567A"/>
    <w:rsid w:val="006A7034"/>
  </w:style>
  <w:style w:type="paragraph" w:customStyle="1" w:styleId="67BC14694F21415A9E52C4CBB58875C2">
    <w:name w:val="67BC14694F21415A9E52C4CBB58875C2"/>
    <w:rsid w:val="006A7034"/>
  </w:style>
  <w:style w:type="paragraph" w:customStyle="1" w:styleId="815C56B5E7B84B67AA3EB10018493FC6">
    <w:name w:val="815C56B5E7B84B67AA3EB10018493FC6"/>
    <w:rsid w:val="006A703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Volume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3B170A-AD28-45DC-8273-C0E197290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Submissions – NLUJ Law Review</dc:title>
  <dc:creator>shubham</dc:creator>
  <cp:lastModifiedBy>shubham</cp:lastModifiedBy>
  <cp:revision>1</cp:revision>
  <dcterms:created xsi:type="dcterms:W3CDTF">2020-02-24T08:27:00Z</dcterms:created>
  <dcterms:modified xsi:type="dcterms:W3CDTF">2020-02-24T09:28:00Z</dcterms:modified>
</cp:coreProperties>
</file>