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THEMIS  2020</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CHRIST  LAVASA NATIONAL MOOT COURT COMPETITION </w:t>
      </w:r>
    </w:p>
    <w:p w:rsidR="00000000" w:rsidDel="00000000" w:rsidP="00000000" w:rsidRDefault="00000000" w:rsidRPr="00000000" w14:paraId="00000003">
      <w:pPr>
        <w:spacing w:after="0" w:line="360" w:lineRule="auto"/>
        <w:ind w:left="720" w:hanging="360"/>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4">
      <w:pPr>
        <w:spacing w:after="0" w:line="360" w:lineRule="auto"/>
        <w:ind w:left="360" w:firstLine="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Moot Problem</w:t>
      </w:r>
    </w:p>
    <w:p w:rsidR="00000000" w:rsidDel="00000000" w:rsidP="00000000" w:rsidRDefault="00000000" w:rsidRPr="00000000" w14:paraId="00000005">
      <w:pPr>
        <w:spacing w:after="0" w:before="0" w:line="360" w:lineRule="auto"/>
        <w:ind w:left="720" w:hanging="360"/>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6">
      <w:pPr>
        <w:numPr>
          <w:ilvl w:val="0"/>
          <w:numId w:val="2"/>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Kindia is positioned on the Hadenese subcontinent in south-central Luthania and is located in both the southern and northern hemisphere; Kindia is among the most populated countries of the world. Having gained independence a mere 70 years back, Kindia is among the largest and youngest democracies of the world placing special emphasis on personal liberty. Though an independent and sovereign country, the Kindian Constitution draws its inspiration from various countries. </w:t>
      </w:r>
    </w:p>
    <w:p w:rsidR="00000000" w:rsidDel="00000000" w:rsidP="00000000" w:rsidRDefault="00000000" w:rsidRPr="00000000" w14:paraId="00000007">
      <w:pPr>
        <w:numPr>
          <w:ilvl w:val="0"/>
          <w:numId w:val="2"/>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Kindia shares its borders with 2 other countries, Bakistan on the Northwest and Mina on the Eastern side. Though Kindia has successfully maintained friendly relations with the 2 countries for the better half of 5 decades little was accomplished to tackle the smuggling of narcotic substances from Bakistan and Mina into Kindia. In order to combat the ever increasing menace of drugs Kindia enacted the NDPS Act which provides for stringent punishment and took a preventive theory of punishment in dealing with offences which come under the purview of the act. </w:t>
      </w:r>
    </w:p>
    <w:p w:rsidR="00000000" w:rsidDel="00000000" w:rsidP="00000000" w:rsidRDefault="00000000" w:rsidRPr="00000000" w14:paraId="00000008">
      <w:pPr>
        <w:numPr>
          <w:ilvl w:val="0"/>
          <w:numId w:val="2"/>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survey conducted in the year 2011 it was found that Kindia has the highest corruption rate in the world. The country saw several processions against some corruption in the government and private sector however no tangible changes resulted from the same. Large amount of wealth was concentrated in the hands of a few while the others continued to spiral down in poverty. </w:t>
      </w:r>
    </w:p>
    <w:p w:rsidR="00000000" w:rsidDel="00000000" w:rsidP="00000000" w:rsidRDefault="00000000" w:rsidRPr="00000000" w14:paraId="00000009">
      <w:pPr>
        <w:numPr>
          <w:ilvl w:val="0"/>
          <w:numId w:val="2"/>
        </w:numPr>
        <w:spacing w:after="0" w:before="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year 2013 the central government published an order in the official gazette whereby: </w:t>
      </w:r>
    </w:p>
    <w:p w:rsidR="00000000" w:rsidDel="00000000" w:rsidP="00000000" w:rsidRDefault="00000000" w:rsidRPr="00000000" w14:paraId="0000000A">
      <w:pPr>
        <w:spacing w:after="0" w:before="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“Notwithstanding anything in the Code or in any other law for the time being in force, the evidence collected through the interception of wire, electronic or oral communication under this section shall be admissible as evidence against the accused in the Court during the trial of a case : </w:t>
      </w:r>
    </w:p>
    <w:p w:rsidR="00000000" w:rsidDel="00000000" w:rsidP="00000000" w:rsidRDefault="00000000" w:rsidRPr="00000000" w14:paraId="0000000B">
      <w:pPr>
        <w:spacing w:after="0" w:before="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that, the contents of any wire, electronic or oral communication intercepted pursuant to this section or evidence derived therefrom shall not be received in evidence or otherwise disclosed in any trial, hearing or other proceeding in any Court unless each party, not less than ten days before the trial, hearing or proceeding, has been furnished with a copy of the order of the Competent Authority, and accompanying application, under which the interception was authorised or approved:</w:t>
      </w:r>
    </w:p>
    <w:p w:rsidR="00000000" w:rsidDel="00000000" w:rsidP="00000000" w:rsidRDefault="00000000" w:rsidRPr="00000000" w14:paraId="0000000C">
      <w:pPr>
        <w:spacing w:after="0" w:before="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further that, this ten days period may be waived by the judge, trying the matter, if he finds that it was not possible to furnish the party with the above information ten days before the trial, hearing or proceeding and that the party will not be prejudiced by the delay in receiving such information. </w:t>
      </w:r>
    </w:p>
    <w:p w:rsidR="00000000" w:rsidDel="00000000" w:rsidP="00000000" w:rsidRDefault="00000000" w:rsidRPr="00000000" w14:paraId="0000000D">
      <w:pPr>
        <w:spacing w:after="0" w:before="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Explanation.—For the purposes of this section—</w:t>
      </w:r>
    </w:p>
    <w:p w:rsidR="00000000" w:rsidDel="00000000" w:rsidP="00000000" w:rsidRDefault="00000000" w:rsidRPr="00000000" w14:paraId="0000000E">
      <w:pPr>
        <w:numPr>
          <w:ilvl w:val="0"/>
          <w:numId w:val="1"/>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‘wire communication’ means any aural transfer made in whole or part through the use of facilities for the transmission of communications by the aid of wire, cable or other like connection between the point of origin and the point of connection, between the point of origin and point of reception (including the use of such connection switching station) and such term includes any electronic storage of such communication;</w:t>
      </w:r>
      <w:r w:rsidDel="00000000" w:rsidR="00000000" w:rsidRPr="00000000">
        <w:rPr>
          <w:rtl w:val="0"/>
        </w:rPr>
      </w:r>
    </w:p>
    <w:p w:rsidR="00000000" w:rsidDel="00000000" w:rsidP="00000000" w:rsidRDefault="00000000" w:rsidRPr="00000000" w14:paraId="0000000F">
      <w:pPr>
        <w:numPr>
          <w:ilvl w:val="0"/>
          <w:numId w:val="1"/>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‘oral communication’ means any oral communication uttered by a person exhibiting an expectation that such communication is not subject to interception under circumstances justifying such expectation, but such term does not include any electronic communication; </w:t>
      </w:r>
      <w:r w:rsidDel="00000000" w:rsidR="00000000" w:rsidRPr="00000000">
        <w:rPr>
          <w:rtl w:val="0"/>
        </w:rPr>
      </w:r>
    </w:p>
    <w:p w:rsidR="00000000" w:rsidDel="00000000" w:rsidP="00000000" w:rsidRDefault="00000000" w:rsidRPr="00000000" w14:paraId="00000010">
      <w:pPr>
        <w:numPr>
          <w:ilvl w:val="0"/>
          <w:numId w:val="1"/>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‘electronic communication’ means any transfer of signs, signals, writings, images, sounds, data or intelligence of any nature transmitted in whole or in part by a wire, radio, electromagnetic, photo electronic or photo optical system that affects inland or foreign commerce but does not include— </w:t>
      </w:r>
      <w:r w:rsidDel="00000000" w:rsidR="00000000" w:rsidRPr="00000000">
        <w:rPr>
          <w:rtl w:val="0"/>
        </w:rPr>
      </w:r>
    </w:p>
    <w:p w:rsidR="00000000" w:rsidDel="00000000" w:rsidP="00000000" w:rsidRDefault="00000000" w:rsidRPr="00000000" w14:paraId="00000011">
      <w:pPr>
        <w:numPr>
          <w:ilvl w:val="1"/>
          <w:numId w:val="1"/>
        </w:numPr>
        <w:spacing w:after="0" w:before="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radio portion of a cordless telephone communication that is transmitted between the wireless telephone hand-set and the base unit; </w:t>
      </w:r>
      <w:r w:rsidDel="00000000" w:rsidR="00000000" w:rsidRPr="00000000">
        <w:rPr>
          <w:rtl w:val="0"/>
        </w:rPr>
      </w:r>
    </w:p>
    <w:p w:rsidR="00000000" w:rsidDel="00000000" w:rsidP="00000000" w:rsidRDefault="00000000" w:rsidRPr="00000000" w14:paraId="00000012">
      <w:pPr>
        <w:numPr>
          <w:ilvl w:val="1"/>
          <w:numId w:val="1"/>
        </w:numPr>
        <w:spacing w:after="0" w:before="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wire or oral communication;</w:t>
      </w:r>
      <w:r w:rsidDel="00000000" w:rsidR="00000000" w:rsidRPr="00000000">
        <w:rPr>
          <w:rtl w:val="0"/>
        </w:rPr>
      </w:r>
    </w:p>
    <w:p w:rsidR="00000000" w:rsidDel="00000000" w:rsidP="00000000" w:rsidRDefault="00000000" w:rsidRPr="00000000" w14:paraId="00000013">
      <w:pPr>
        <w:numPr>
          <w:ilvl w:val="1"/>
          <w:numId w:val="1"/>
        </w:numPr>
        <w:spacing w:after="0" w:before="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made through a tone only paging device; or </w:t>
      </w:r>
      <w:r w:rsidDel="00000000" w:rsidR="00000000" w:rsidRPr="00000000">
        <w:rPr>
          <w:rtl w:val="0"/>
        </w:rPr>
      </w:r>
    </w:p>
    <w:p w:rsidR="00000000" w:rsidDel="00000000" w:rsidP="00000000" w:rsidRDefault="00000000" w:rsidRPr="00000000" w14:paraId="00000014">
      <w:pPr>
        <w:numPr>
          <w:ilvl w:val="1"/>
          <w:numId w:val="1"/>
        </w:numPr>
        <w:spacing w:after="0" w:before="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communication from a tracking device;</w:t>
      </w:r>
      <w:r w:rsidDel="00000000" w:rsidR="00000000" w:rsidRPr="00000000">
        <w:rPr>
          <w:rtl w:val="0"/>
        </w:rPr>
      </w:r>
    </w:p>
    <w:p w:rsidR="00000000" w:rsidDel="00000000" w:rsidP="00000000" w:rsidRDefault="00000000" w:rsidRPr="00000000" w14:paraId="00000015">
      <w:pPr>
        <w:numPr>
          <w:ilvl w:val="1"/>
          <w:numId w:val="1"/>
        </w:numPr>
        <w:spacing w:after="0" w:before="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‘intercept’ means the aural or other acquisition of the contents by wire, electronic or oral communication through the use of any electronic, mechanical or other device.”</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aforesaid law the police started cracking down on the illicit trade in narcotics and psychotropic substances and 100 of suspects came to be convicted based on their telephonic conversation. To a large extent the vice grip which drug trade had in urban areas was effectively exhumed however it was observed that 35 percent of NDPS cases which resulted in a conviction by the Special Courts were overturned on appeal. </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27th October, 2018 Additional Commissioner of Police Rahimatullah Sayyed received a tip that a Nigerian national Mr. Zico was supplying drugs to college students.Mr. Zico had prior antecedents of theft and gracious hurt in which he was acquitted. Accordingly the police started intercepting Mr.Zicos telephone calls to which they were upraised that a drug transaction was to take place DB marg road in Mumbai on 1st November, 2018 at around 9:45pm. Accordingly, a team of NCB officers went to the spot at 7:30 and upraised 2 respectable locals of the raid requesting them to act as panch witnesses to which they agreed. </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around 09:45 PM Mr. Zico was spotted on an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ctiva bearing registration MOH4872 to which he was stopped and the police introduced themselves as NCB offices, further they also upraised him of their suspicions and informed him that he has the right to be searched in the presence of a </w:t>
      </w:r>
      <w:r w:rsidDel="00000000" w:rsidR="00000000" w:rsidRPr="00000000">
        <w:rPr>
          <w:rFonts w:ascii="Times New Roman" w:cs="Times New Roman" w:eastAsia="Times New Roman" w:hAnsi="Times New Roman"/>
          <w:sz w:val="24"/>
          <w:szCs w:val="24"/>
          <w:rtl w:val="0"/>
        </w:rPr>
        <w:t xml:space="preserve">gazetted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officer </w:t>
      </w:r>
      <w:r w:rsidDel="00000000" w:rsidR="00000000" w:rsidRPr="00000000">
        <w:rPr>
          <w:rFonts w:ascii="Times New Roman" w:cs="Times New Roman" w:eastAsia="Times New Roman" w:hAnsi="Times New Roman"/>
          <w:sz w:val="24"/>
          <w:szCs w:val="24"/>
          <w:rtl w:val="0"/>
        </w:rPr>
        <w:t xml:space="preserve">or a Magistrate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he declined. Upon conducting his search the police recovered white coloured powdered substance which they tested in the spot kit. The substance tested positive for cocaine upon which it was sealed under the NCB seal and the same was signed the the panch witnesses and the senior P.I. </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spot panchnama was completed by 11:45 PM and Mr. Zico was taken into custody for offence under Section </w:t>
      </w:r>
      <w:r w:rsidDel="00000000" w:rsidR="00000000" w:rsidRPr="00000000">
        <w:rPr>
          <w:rFonts w:ascii="Times New Roman" w:cs="Times New Roman" w:eastAsia="Times New Roman" w:hAnsi="Times New Roman"/>
          <w:sz w:val="24"/>
          <w:szCs w:val="24"/>
          <w:rtl w:val="0"/>
        </w:rPr>
        <w:t xml:space="preserve">8(c)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read with Section 28 of NDPS Act wherein he confessed that he had taken the drugs for the purpose of sale </w:t>
      </w:r>
      <w:r w:rsidDel="00000000" w:rsidR="00000000" w:rsidRPr="00000000">
        <w:rPr>
          <w:rFonts w:ascii="Times New Roman" w:cs="Times New Roman" w:eastAsia="Times New Roman" w:hAnsi="Times New Roman"/>
          <w:sz w:val="24"/>
          <w:szCs w:val="24"/>
          <w:rtl w:val="0"/>
        </w:rPr>
        <w:t xml:space="preserve">to an unknown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college college students who were to approach him by 10pm. Mr. Zico was granted JC by the special court on 2nd November, 2018 however his bail application came to be rejected. Mr. Zico filed a fresh bail application before the Hon'ble High Court and the same came to be rejected on the ground that the twin conditions for bail could not be satisfied in view of the interceptions and the confession. </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 Zico filed an SLP against the order of the Hon'ble High Court. Leave is granted and the matter is at final argument stage.</w:t>
      </w:r>
      <w:r w:rsidDel="00000000" w:rsidR="00000000" w:rsidRPr="00000000">
        <w:rPr>
          <w:rtl w:val="0"/>
        </w:rPr>
      </w:r>
    </w:p>
    <w:p w:rsidR="00000000" w:rsidDel="00000000" w:rsidP="00000000" w:rsidRDefault="00000000" w:rsidRPr="00000000" w14:paraId="0000001B">
      <w:pPr>
        <w:spacing w:line="360" w:lineRule="auto"/>
        <w:ind w:left="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Issues:</w:t>
      </w:r>
    </w:p>
    <w:p w:rsidR="00000000" w:rsidDel="00000000" w:rsidP="00000000" w:rsidRDefault="00000000" w:rsidRPr="00000000" w14:paraId="0000001D">
      <w:pPr>
        <w:numPr>
          <w:ilvl w:val="0"/>
          <w:numId w:val="3"/>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notification authorizing wire interception is constitutionally valid?</w:t>
      </w:r>
    </w:p>
    <w:p w:rsidR="00000000" w:rsidDel="00000000" w:rsidP="00000000" w:rsidRDefault="00000000" w:rsidRPr="00000000" w14:paraId="0000001E">
      <w:pPr>
        <w:numPr>
          <w:ilvl w:val="0"/>
          <w:numId w:val="3"/>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a statement amounting to confession under section 67 of NDPS Act is constitutionally admissible in evidence? </w:t>
      </w:r>
    </w:p>
    <w:p w:rsidR="00000000" w:rsidDel="00000000" w:rsidP="00000000" w:rsidRDefault="00000000" w:rsidRPr="00000000" w14:paraId="0000001F">
      <w:pPr>
        <w:numPr>
          <w:ilvl w:val="0"/>
          <w:numId w:val="3"/>
        </w:numPr>
        <w:spacing w:after="0" w:before="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the twin conditions for bail under Section 37 of NDPS Act are constitutionally valid?</w:t>
      </w:r>
    </w:p>
    <w:p w:rsidR="00000000" w:rsidDel="00000000" w:rsidP="00000000" w:rsidRDefault="00000000" w:rsidRPr="00000000" w14:paraId="00000020">
      <w:pPr>
        <w:spacing w:before="0"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before="0"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before="0" w:line="360" w:lineRule="auto"/>
        <w:ind w:left="144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Laws of Kindia are pari-materia to India</w:t>
      </w:r>
    </w:p>
    <w:sectPr>
      <w:headerReference r:id="rId6" w:type="default"/>
      <w:footerReference r:id="rId7"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color="000000" w:space="1" w:sz="12" w:val="single"/>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sz w:val="24"/>
        <w:szCs w:val="24"/>
        <w:rtl w:val="0"/>
      </w:rPr>
      <w:t xml:space="preserve">THEMIS NATIONAL MOOT COURT COMPETITION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2019-2</w:t>
    </w:r>
    <w:r w:rsidDel="00000000" w:rsidR="00000000" w:rsidRPr="00000000">
      <w:rPr>
        <w:rFonts w:ascii="Times New Roman" w:cs="Times New Roman" w:eastAsia="Times New Roman" w:hAnsi="Times New Roman"/>
        <w:sz w:val="24"/>
        <w:szCs w:val="24"/>
        <w:rtl w:val="0"/>
      </w:rPr>
      <w:t xml:space="preserve">020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spacing w:line="276" w:lineRule="auto"/>
      <w:ind w:hanging="141.73228346456688"/>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905000" cy="602025"/>
          <wp:effectExtent b="0" l="0" r="0" t="0"/>
          <wp:docPr id="1" name="image1.png"/>
          <a:graphic>
            <a:graphicData uri="http://schemas.openxmlformats.org/drawingml/2006/picture">
              <pic:pic>
                <pic:nvPicPr>
                  <pic:cNvPr id="0" name="image1.png"/>
                  <pic:cNvPicPr preferRelativeResize="0"/>
                </pic:nvPicPr>
                <pic:blipFill>
                  <a:blip r:embed="rId1"/>
                  <a:srcRect b="34343" l="0" r="0" t="34102"/>
                  <a:stretch>
                    <a:fillRect/>
                  </a:stretch>
                </pic:blipFill>
                <pic:spPr>
                  <a:xfrm>
                    <a:off x="0" y="0"/>
                    <a:ext cx="1905000" cy="602025"/>
                  </a:xfrm>
                  <a:prstGeom prst="rect"/>
                  <a:ln/>
                </pic:spPr>
              </pic:pic>
            </a:graphicData>
          </a:graphic>
        </wp:inline>
      </w:drawing>
    </w:r>
    <w:r w:rsidDel="00000000" w:rsidR="00000000" w:rsidRPr="00000000">
      <w:rPr>
        <w:rtl w:val="0"/>
      </w:rPr>
      <w:t xml:space="preserve">                          </w:t>
      <w:tab/>
      <w:tab/>
      <w:tab/>
      <w:tab/>
    </w: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